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46" w:rsidRDefault="003C1B46" w:rsidP="003C1B46">
      <w:pPr>
        <w:widowControl/>
        <w:spacing w:beforeLines="50" w:afterLines="50" w:line="50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附件一：云计算架构设计课程大纲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1238"/>
        <w:gridCol w:w="1987"/>
        <w:gridCol w:w="7029"/>
      </w:tblGrid>
      <w:tr w:rsidR="003C1B46" w:rsidTr="005F39F2">
        <w:trPr>
          <w:cantSplit/>
          <w:trHeight w:val="195"/>
          <w:jc w:val="center"/>
        </w:trPr>
        <w:tc>
          <w:tcPr>
            <w:tcW w:w="1238" w:type="dxa"/>
            <w:shd w:val="clear" w:color="auto" w:fill="A6A6A6"/>
            <w:vAlign w:val="center"/>
          </w:tcPr>
          <w:p w:rsidR="003C1B46" w:rsidRDefault="003C1B46" w:rsidP="005F39F2">
            <w:pPr>
              <w:spacing w:line="36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课程模块</w:t>
            </w:r>
          </w:p>
        </w:tc>
        <w:tc>
          <w:tcPr>
            <w:tcW w:w="1987" w:type="dxa"/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36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课程主题</w:t>
            </w:r>
          </w:p>
        </w:tc>
        <w:tc>
          <w:tcPr>
            <w:tcW w:w="7029" w:type="dxa"/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36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主要内容(内容可以根据学员的要求可以现场调整）</w:t>
            </w:r>
          </w:p>
        </w:tc>
      </w:tr>
      <w:tr w:rsidR="003C1B46" w:rsidTr="005F39F2">
        <w:trPr>
          <w:cantSplit/>
          <w:trHeight w:val="1755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模块一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传统业务遇到的瓶颈和挑战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numPr>
                <w:ilvl w:val="0"/>
                <w:numId w:val="1"/>
              </w:numPr>
              <w:spacing w:line="340" w:lineRule="exact"/>
              <w:ind w:left="532" w:hanging="357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数据中心的规模不停的扩大、场地规模受到挑战、机房接近满载（电力、空间）</w:t>
            </w:r>
          </w:p>
          <w:p w:rsidR="003C1B46" w:rsidRDefault="003C1B46" w:rsidP="005F39F2">
            <w:pPr>
              <w:numPr>
                <w:ilvl w:val="0"/>
                <w:numId w:val="1"/>
              </w:numPr>
              <w:spacing w:line="340" w:lineRule="exact"/>
              <w:ind w:left="532" w:hanging="357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IT运维成本高、流程复杂（管理、维护）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数据信息孤岛                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应用可靠性低（安全性、可靠性）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计算资源利用率低不均衡现象明显</w:t>
            </w:r>
          </w:p>
        </w:tc>
      </w:tr>
      <w:tr w:rsidR="003C1B46" w:rsidTr="005F39F2">
        <w:trPr>
          <w:cantSplit/>
          <w:trHeight w:val="1715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运用云计算技术能够解决的问题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构建绿色节能数据中心   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云平台简化企业运维流程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大数据集中、业务分析、经营决策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虚拟化计算资源池、提高企业计算利用率，增强安全性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降低企业运维成本       </w:t>
            </w:r>
          </w:p>
        </w:tc>
      </w:tr>
      <w:tr w:rsidR="003C1B46" w:rsidTr="005F39F2">
        <w:trPr>
          <w:cantSplit/>
          <w:trHeight w:val="2026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模块二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云计算的核心和灵魂-云计算管理平台</w:t>
            </w:r>
          </w:p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云计算的核心和灵魂-云管理平台</w:t>
            </w:r>
          </w:p>
          <w:p w:rsidR="003C1B46" w:rsidRDefault="003C1B46" w:rsidP="005F39F2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云平台门户--资源管理门户</w:t>
            </w:r>
          </w:p>
          <w:p w:rsidR="003C1B46" w:rsidRDefault="003C1B46" w:rsidP="005F39F2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运营管理模块--用户角色权限</w:t>
            </w:r>
          </w:p>
          <w:p w:rsidR="003C1B46" w:rsidRDefault="003C1B46" w:rsidP="005F39F2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运营管理模块--服务目录：从业务层面定义封装云平台提供的能力及业务</w:t>
            </w:r>
          </w:p>
          <w:p w:rsidR="003C1B46" w:rsidRDefault="003C1B46" w:rsidP="005F39F2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灵活的资源供给：虚拟机监控服务、虚拟防火墙服务、虚拟负载均衡服务</w:t>
            </w:r>
          </w:p>
          <w:p w:rsidR="003C1B46" w:rsidRDefault="003C1B46" w:rsidP="005F39F2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运营管理模块--审批流程：实现网上协同办公、实现运营管理和工作一体化</w:t>
            </w:r>
          </w:p>
          <w:p w:rsidR="003C1B46" w:rsidRDefault="003C1B46" w:rsidP="005F39F2">
            <w:pPr>
              <w:widowControl/>
              <w:numPr>
                <w:ilvl w:val="0"/>
                <w:numId w:val="2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运营管理模块--全业务工单流程管理：工单电子化、业务开通流程、故障处理流程电子化、资源信息的共享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智能的资源调度管理</w:t>
            </w:r>
          </w:p>
          <w:p w:rsidR="003C1B46" w:rsidRDefault="003C1B46" w:rsidP="005F39F2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计算资源管理--虚拟化系统管理</w:t>
            </w:r>
          </w:p>
          <w:p w:rsidR="003C1B46" w:rsidRDefault="003C1B46" w:rsidP="005F39F2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计算资源管理--虚拟机管理功能</w:t>
            </w:r>
          </w:p>
          <w:p w:rsidR="003C1B46" w:rsidRDefault="003C1B46" w:rsidP="005F39F2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计算资源管理--物理机管理</w:t>
            </w:r>
          </w:p>
          <w:p w:rsidR="003C1B46" w:rsidRDefault="003C1B46" w:rsidP="005F39F2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计算资源管理--小型机管理</w:t>
            </w:r>
          </w:p>
          <w:p w:rsidR="003C1B46" w:rsidRDefault="003C1B46" w:rsidP="005F39F2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网络资源管理</w:t>
            </w:r>
          </w:p>
          <w:p w:rsidR="003C1B46" w:rsidRDefault="003C1B46" w:rsidP="005F39F2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存储资源管理</w:t>
            </w:r>
          </w:p>
          <w:p w:rsidR="003C1B46" w:rsidRDefault="003C1B46" w:rsidP="005F39F2">
            <w:pPr>
              <w:widowControl/>
              <w:numPr>
                <w:ilvl w:val="0"/>
                <w:numId w:val="3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多数据中心管理-集中部署管理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大规模自动部署能力</w:t>
            </w:r>
          </w:p>
          <w:p w:rsidR="003C1B46" w:rsidRDefault="003C1B46" w:rsidP="005F39F2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快照管理、模板管理</w:t>
            </w:r>
          </w:p>
          <w:p w:rsidR="003C1B46" w:rsidRDefault="003C1B46" w:rsidP="005F39F2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高效快捷的模板管理与应用交付</w:t>
            </w:r>
          </w:p>
          <w:p w:rsidR="003C1B46" w:rsidRDefault="003C1B46" w:rsidP="005F39F2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监控管理模块：资源池Hypervisor主机系统</w:t>
            </w:r>
          </w:p>
          <w:p w:rsidR="003C1B46" w:rsidRDefault="003C1B46" w:rsidP="005F39F2">
            <w:pPr>
              <w:widowControl/>
              <w:numPr>
                <w:ilvl w:val="0"/>
                <w:numId w:val="4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资源池虚拟机运行状态、 vCPU利用率、 vCPU负载、内存使用率、</w:t>
            </w:r>
          </w:p>
        </w:tc>
      </w:tr>
      <w:tr w:rsidR="003C1B46" w:rsidTr="005F39F2">
        <w:trPr>
          <w:cantSplit/>
          <w:trHeight w:val="8615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模块三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云计算中核心技术之虚拟化技术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全员虚拟化：虚拟化技术360度；  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网络虚拟化技术</w:t>
            </w:r>
          </w:p>
          <w:p w:rsidR="003C1B46" w:rsidRDefault="003C1B46" w:rsidP="005F39F2">
            <w:pPr>
              <w:widowControl/>
              <w:numPr>
                <w:ilvl w:val="0"/>
                <w:numId w:val="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IRF2虚拟化技术</w:t>
            </w:r>
          </w:p>
          <w:p w:rsidR="003C1B46" w:rsidRDefault="003C1B46" w:rsidP="005F39F2">
            <w:pPr>
              <w:widowControl/>
              <w:numPr>
                <w:ilvl w:val="0"/>
                <w:numId w:val="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基于IRF实现云中心的大二层网络</w:t>
            </w:r>
          </w:p>
          <w:p w:rsidR="003C1B46" w:rsidRDefault="003C1B46" w:rsidP="005F39F2">
            <w:pPr>
              <w:widowControl/>
              <w:numPr>
                <w:ilvl w:val="0"/>
                <w:numId w:val="5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虚拟防火墙需求驱动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存储虚拟化技术</w:t>
            </w:r>
          </w:p>
          <w:p w:rsidR="003C1B46" w:rsidRDefault="003C1B46" w:rsidP="005F39F2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vStor系列统一存储</w:t>
            </w:r>
          </w:p>
          <w:p w:rsidR="003C1B46" w:rsidRDefault="003C1B46" w:rsidP="005F39F2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虚拟化的vStor存储</w:t>
            </w:r>
          </w:p>
          <w:p w:rsidR="003C1B46" w:rsidRDefault="003C1B46" w:rsidP="005F39F2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虚拟存储资源池</w:t>
            </w:r>
          </w:p>
          <w:p w:rsidR="003C1B46" w:rsidRDefault="003C1B46" w:rsidP="005F39F2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提高存储利用率--重复数据删除</w:t>
            </w:r>
          </w:p>
          <w:p w:rsidR="003C1B46" w:rsidRDefault="003C1B46" w:rsidP="005F39F2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提高存储利用率--数据压缩</w:t>
            </w:r>
          </w:p>
          <w:p w:rsidR="003C1B46" w:rsidRDefault="003C1B46" w:rsidP="005F39F2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快照技术-CopyOnWrite</w:t>
            </w:r>
          </w:p>
          <w:p w:rsidR="003C1B46" w:rsidRDefault="003C1B46" w:rsidP="005F39F2">
            <w:pPr>
              <w:widowControl/>
              <w:numPr>
                <w:ilvl w:val="0"/>
                <w:numId w:val="6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配合vmotion的快照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服务器虚拟化技术</w:t>
            </w:r>
          </w:p>
          <w:p w:rsidR="003C1B46" w:rsidRDefault="003C1B46" w:rsidP="005F39F2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服务器虚拟化对网络性能的要求</w:t>
            </w:r>
          </w:p>
          <w:p w:rsidR="003C1B46" w:rsidRDefault="003C1B46" w:rsidP="005F39F2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性能瓶颈解决的方法</w:t>
            </w:r>
          </w:p>
          <w:p w:rsidR="003C1B46" w:rsidRDefault="003C1B46" w:rsidP="005F39F2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40G/100G以太网标准进展</w:t>
            </w:r>
          </w:p>
          <w:p w:rsidR="003C1B46" w:rsidRDefault="003C1B46" w:rsidP="005F39F2">
            <w:pPr>
              <w:widowControl/>
              <w:numPr>
                <w:ilvl w:val="0"/>
                <w:numId w:val="7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基于厂商的云计算网络解决方案</w:t>
            </w:r>
          </w:p>
          <w:p w:rsidR="003C1B46" w:rsidRDefault="003C1B46" w:rsidP="005F39F2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小型机虚拟化                    </w:t>
            </w:r>
          </w:p>
          <w:p w:rsidR="003C1B46" w:rsidRDefault="003C1B46" w:rsidP="005F39F2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X86架构下的虚拟化技术实现</w:t>
            </w:r>
          </w:p>
          <w:p w:rsidR="003C1B46" w:rsidRDefault="003C1B46" w:rsidP="005F39F2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创建计算资源池的重要性          </w:t>
            </w:r>
          </w:p>
          <w:p w:rsidR="003C1B46" w:rsidRDefault="003C1B46" w:rsidP="005F39F2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管理虚拟化的生命周期</w:t>
            </w:r>
          </w:p>
          <w:p w:rsidR="003C1B46" w:rsidRDefault="003C1B46" w:rsidP="005F39F2">
            <w:pPr>
              <w:widowControl/>
              <w:numPr>
                <w:ilvl w:val="0"/>
                <w:numId w:val="8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虚拟化软件的选型和对比Vmware、Xen、KVM、Hyper-v、virtual box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云内网络技术发展趋势</w:t>
            </w:r>
          </w:p>
          <w:p w:rsidR="003C1B46" w:rsidRDefault="003C1B46" w:rsidP="005F39F2">
            <w:pPr>
              <w:widowControl/>
              <w:numPr>
                <w:ilvl w:val="0"/>
                <w:numId w:val="9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云内互联面临的挑战</w:t>
            </w:r>
          </w:p>
          <w:p w:rsidR="003C1B46" w:rsidRDefault="003C1B46" w:rsidP="005F39F2">
            <w:pPr>
              <w:widowControl/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</w:p>
        </w:tc>
      </w:tr>
      <w:tr w:rsidR="003C1B46" w:rsidTr="005F39F2">
        <w:trPr>
          <w:cantSplit/>
          <w:trHeight w:val="2215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模块四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云计算中核心技术之大数据计算技术与应用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大数据（Big Data）和非结构化数据（NoSQL）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大数据研究和背景           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Cs w:val="21"/>
              </w:rPr>
              <w:t>大数据中的大问题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解决大数据问题的方法和思路 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 xml:space="preserve">• </w:t>
            </w:r>
            <w:r>
              <w:rPr>
                <w:rFonts w:ascii="黑体" w:eastAsia="黑体" w:hint="eastAsia"/>
                <w:color w:val="000000"/>
                <w:szCs w:val="21"/>
              </w:rPr>
              <w:t>大数据计算和存储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开源软件Apache Hadoop    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Hadoop、Hive、HBase生态环境构建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大规模数据计算系统关键技术 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统一数据平台：海量可靠的数据管理 </w:t>
            </w:r>
          </w:p>
        </w:tc>
      </w:tr>
      <w:tr w:rsidR="003C1B46" w:rsidTr="005F39F2">
        <w:trPr>
          <w:cantSplit/>
          <w:trHeight w:val="1650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模块五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绿色数据中心与云计算架构基础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云时代的绿色数据中心</w:t>
            </w:r>
            <w:r>
              <w:rPr>
                <w:rFonts w:ascii="黑体" w:eastAsia="黑体" w:cs="黑体" w:hint="eastAsia"/>
                <w:color w:val="000000"/>
                <w:szCs w:val="21"/>
              </w:rPr>
              <w:t>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Cs w:val="21"/>
              </w:rPr>
              <w:t>建设双活数据中心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云时代绿色数据中心容灾建设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数据中心与云计算定义与关联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从数据中心至云计算的架构层次及发展路线图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绿色数据中心的发展现状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集装箱式数据中心与传统数据中心的比较：建设周期、拥有成本</w:t>
            </w:r>
          </w:p>
        </w:tc>
      </w:tr>
      <w:tr w:rsidR="003C1B46" w:rsidTr="005F39F2">
        <w:trPr>
          <w:cantSplit/>
          <w:trHeight w:val="2026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模块五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绿色数据中心与云计算架构基础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集装箱式数据中心的产品系列 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集装箱式数据中心的部署方式 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集装箱式数据中心的交付周期 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集装箱式数据中心的优势 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模块化数据中心的优点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集装箱式数据中心的部署方式、环境及选址要求、监控系统的功能及特点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数据中心技术演进之路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云数据中心间的三种互联方式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三层互联       二层互联         SAN互联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云数据中心网络方案拓扑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传统数据中心的异构网络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FCoE服务器端融合带来的好处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FCoE对网络的融合</w:t>
            </w:r>
          </w:p>
          <w:p w:rsidR="003C1B46" w:rsidRDefault="003C1B46" w:rsidP="005F39F2">
            <w:pPr>
              <w:widowControl/>
              <w:numPr>
                <w:ilvl w:val="0"/>
                <w:numId w:val="10"/>
              </w:numPr>
              <w:spacing w:line="340" w:lineRule="exact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数据中心网络安全融合</w:t>
            </w:r>
          </w:p>
        </w:tc>
      </w:tr>
      <w:tr w:rsidR="003C1B46" w:rsidTr="005F39F2">
        <w:trPr>
          <w:cantSplit/>
          <w:trHeight w:val="1510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模块六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企业云计算线路图：建立私有云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私有云投资价值的对比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云计算运维体系建设             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瘦客户端带来的价值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桌面、应用虚拟化与VDI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基于PC架构的办公环境面临的问题与隐患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应用与系统的集中部署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桌面云架构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桌面虚拟化优势: 综合管理、统一协调软硬件资产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桌面应用更加灵活，满足多样化企业需求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实现桌面统一管理，提高管理便捷性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企业桌面安全管理提高信息数据安全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绿色办公减少桌面终端电源消耗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避免硬件故障引起办公环境中断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瘦终端产品介绍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瘦终端--绿色的终端        瘦终端硬件配置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瘦终端工作原理            虚拟桌面（ VDI ）产业链</w:t>
            </w:r>
          </w:p>
        </w:tc>
      </w:tr>
      <w:tr w:rsidR="003C1B46" w:rsidTr="005F39F2">
        <w:trPr>
          <w:cantSplit/>
          <w:trHeight w:val="3340"/>
          <w:jc w:val="center"/>
        </w:trPr>
        <w:tc>
          <w:tcPr>
            <w:tcW w:w="1238" w:type="dxa"/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模块七</w:t>
            </w:r>
          </w:p>
        </w:tc>
        <w:tc>
          <w:tcPr>
            <w:tcW w:w="1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云协同--SecureSync</w:t>
            </w:r>
          </w:p>
        </w:tc>
        <w:tc>
          <w:tcPr>
            <w:tcW w:w="702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移动互联网时代，如何有效管理数据？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云间协同支持跨平台移动终端中，同步、使用与分享。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智能手机IOS/Android 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平板电脑IOS/Android 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台式机Windows/MAC 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笔记本电脑Windows/MAC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云应用服务解决目前企业的三大问题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进程数据访问太困难  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文件共享的需要 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确保数据安全的必要性</w:t>
            </w:r>
          </w:p>
        </w:tc>
      </w:tr>
      <w:tr w:rsidR="003C1B46" w:rsidTr="005F39F2">
        <w:trPr>
          <w:cantSplit/>
          <w:trHeight w:val="1890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lastRenderedPageBreak/>
              <w:t>模块七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云协同--SecureSync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高弹性、低成本、与可扩容架构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丰富的API 可快速与其它应用服务整合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云间的三大优势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随时随地同步与备份你的个人数据</w:t>
            </w:r>
          </w:p>
          <w:p w:rsidR="003C1B46" w:rsidRDefault="003C1B46" w:rsidP="005F39F2">
            <w:pPr>
              <w:widowControl/>
              <w:numPr>
                <w:ilvl w:val="0"/>
                <w:numId w:val="11"/>
              </w:numPr>
              <w:spacing w:line="340" w:lineRule="exact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随时随地使用与分享你的个人数据</w:t>
            </w:r>
          </w:p>
        </w:tc>
      </w:tr>
      <w:tr w:rsidR="003C1B46" w:rsidTr="005F39F2">
        <w:trPr>
          <w:cantSplit/>
          <w:trHeight w:val="945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B46" w:rsidRDefault="003C1B46" w:rsidP="005F39F2">
            <w:pPr>
              <w:spacing w:line="24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模块八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spacing w:line="400" w:lineRule="exact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成功案例分享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企业云计算平台搭建及运维案例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云平台开发过程分享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某银行虚拟化项目实施成功案例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某园区云平台实施案例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山东省XX局虚拟化案例      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 xml:space="preserve">空军后勤部云计算项目 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河南省XX烟草公司云计算项目 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某省移动绿色呼叫中心</w:t>
            </w:r>
          </w:p>
          <w:p w:rsidR="003C1B46" w:rsidRDefault="003C1B46" w:rsidP="005F39F2">
            <w:pPr>
              <w:widowControl/>
              <w:numPr>
                <w:ilvl w:val="0"/>
                <w:numId w:val="1"/>
              </w:numPr>
              <w:spacing w:line="340" w:lineRule="exact"/>
              <w:ind w:left="532" w:hanging="357"/>
              <w:jc w:val="left"/>
              <w:rPr>
                <w:rFonts w:ascii="黑体" w:eastAsia="黑体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某电信云宽带联合研发项目VDI    </w:t>
            </w:r>
            <w:r>
              <w:rPr>
                <w:rFonts w:ascii="宋体" w:cs="宋体" w:hint="eastAsia"/>
                <w:color w:val="000000"/>
                <w:position w:val="-2"/>
                <w:szCs w:val="21"/>
              </w:rPr>
              <w:t>•</w:t>
            </w:r>
            <w:r>
              <w:rPr>
                <w:rFonts w:ascii="黑体" w:eastAsia="黑体" w:hint="eastAsia"/>
                <w:color w:val="000000"/>
                <w:szCs w:val="21"/>
              </w:rPr>
              <w:t>某电信翼云平台搭建案例</w:t>
            </w:r>
          </w:p>
        </w:tc>
      </w:tr>
    </w:tbl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</w:p>
    <w:p w:rsidR="003C1B46" w:rsidRDefault="003C1B46" w:rsidP="003C1B46">
      <w:pPr>
        <w:widowControl/>
        <w:spacing w:beforeLines="50" w:line="540" w:lineRule="exact"/>
        <w:jc w:val="left"/>
        <w:textAlignment w:val="baseline"/>
        <w:outlineLvl w:val="0"/>
        <w:rPr>
          <w:rFonts w:ascii="宋体" w:hint="eastAsia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lastRenderedPageBreak/>
        <w:t>附件二：“云计算架构与最佳实践”报名回执表</w:t>
      </w:r>
    </w:p>
    <w:tbl>
      <w:tblPr>
        <w:tblW w:w="10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71"/>
        <w:gridCol w:w="820"/>
        <w:gridCol w:w="1647"/>
        <w:gridCol w:w="1932"/>
        <w:gridCol w:w="793"/>
        <w:gridCol w:w="1049"/>
        <w:gridCol w:w="2317"/>
      </w:tblGrid>
      <w:tr w:rsidR="003C1B46" w:rsidTr="003C1B46">
        <w:trPr>
          <w:cantSplit/>
          <w:trHeight w:val="592"/>
          <w:jc w:val="center"/>
        </w:trPr>
        <w:tc>
          <w:tcPr>
            <w:tcW w:w="1671" w:type="dxa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558" w:type="dxa"/>
            <w:gridSpan w:val="6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3C1B46" w:rsidTr="003C1B46">
        <w:trPr>
          <w:cantSplit/>
          <w:trHeight w:val="478"/>
          <w:jc w:val="center"/>
        </w:trPr>
        <w:tc>
          <w:tcPr>
            <w:tcW w:w="1671" w:type="dxa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399" w:type="dxa"/>
            <w:gridSpan w:val="3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31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3C1B46" w:rsidTr="003C1B46">
        <w:trPr>
          <w:trHeight w:val="592"/>
          <w:jc w:val="center"/>
        </w:trPr>
        <w:tc>
          <w:tcPr>
            <w:tcW w:w="1671" w:type="dxa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820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3C1B46" w:rsidRDefault="003C1B46" w:rsidP="005F39F2">
            <w:pPr>
              <w:spacing w:line="520" w:lineRule="exact"/>
              <w:ind w:right="420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 xml:space="preserve">  传真</w:t>
            </w:r>
          </w:p>
        </w:tc>
        <w:tc>
          <w:tcPr>
            <w:tcW w:w="1932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31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3C1B46" w:rsidTr="003C1B46">
        <w:trPr>
          <w:cantSplit/>
          <w:trHeight w:val="592"/>
          <w:jc w:val="center"/>
        </w:trPr>
        <w:tc>
          <w:tcPr>
            <w:tcW w:w="1671" w:type="dxa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0" w:type="dxa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47" w:type="dxa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部门/职务</w:t>
            </w:r>
          </w:p>
        </w:tc>
        <w:tc>
          <w:tcPr>
            <w:tcW w:w="1932" w:type="dxa"/>
            <w:vAlign w:val="center"/>
          </w:tcPr>
          <w:p w:rsidR="003C1B46" w:rsidRDefault="003C1B46" w:rsidP="005F39F2">
            <w:pPr>
              <w:spacing w:line="520" w:lineRule="exact"/>
              <w:ind w:firstLineChars="150" w:firstLine="420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17" w:type="dxa"/>
            <w:vAlign w:val="center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3C1B46" w:rsidTr="003C1B46">
        <w:trPr>
          <w:cantSplit/>
          <w:trHeight w:val="592"/>
          <w:jc w:val="center"/>
        </w:trPr>
        <w:tc>
          <w:tcPr>
            <w:tcW w:w="1671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3C1B46" w:rsidTr="003C1B46">
        <w:trPr>
          <w:cantSplit/>
          <w:trHeight w:val="592"/>
          <w:jc w:val="center"/>
        </w:trPr>
        <w:tc>
          <w:tcPr>
            <w:tcW w:w="1671" w:type="dxa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3C1B46" w:rsidTr="003C1B46">
        <w:trPr>
          <w:cantSplit/>
          <w:trHeight w:val="592"/>
          <w:jc w:val="center"/>
        </w:trPr>
        <w:tc>
          <w:tcPr>
            <w:tcW w:w="1671" w:type="dxa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3C1B46" w:rsidTr="003C1B46">
        <w:trPr>
          <w:cantSplit/>
          <w:trHeight w:val="592"/>
          <w:jc w:val="center"/>
        </w:trPr>
        <w:tc>
          <w:tcPr>
            <w:tcW w:w="1671" w:type="dxa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3C1B46" w:rsidTr="003C1B46">
        <w:trPr>
          <w:cantSplit/>
          <w:trHeight w:val="592"/>
          <w:jc w:val="center"/>
        </w:trPr>
        <w:tc>
          <w:tcPr>
            <w:tcW w:w="1671" w:type="dxa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</w:tcPr>
          <w:p w:rsidR="003C1B46" w:rsidRDefault="003C1B46" w:rsidP="005F39F2">
            <w:pPr>
              <w:spacing w:line="520" w:lineRule="exac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3C1B46" w:rsidRDefault="003C1B46" w:rsidP="005F39F2">
            <w:pPr>
              <w:spacing w:line="520" w:lineRule="exact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3C1B46" w:rsidTr="003C1B46">
        <w:trPr>
          <w:cantSplit/>
          <w:trHeight w:val="592"/>
          <w:jc w:val="center"/>
        </w:trPr>
        <w:tc>
          <w:tcPr>
            <w:tcW w:w="1671" w:type="dxa"/>
            <w:vAlign w:val="center"/>
          </w:tcPr>
          <w:p w:rsidR="003C1B46" w:rsidRPr="00987D89" w:rsidRDefault="003C1B46" w:rsidP="005F39F2">
            <w:pPr>
              <w:spacing w:line="520" w:lineRule="exact"/>
              <w:jc w:val="center"/>
              <w:rPr>
                <w:rFonts w:hint="eastAsia"/>
              </w:rPr>
            </w:pPr>
            <w:r w:rsidRPr="00987D89">
              <w:rPr>
                <w:rFonts w:ascii="宋体" w:hint="eastAsia"/>
                <w:bCs/>
                <w:color w:val="000000"/>
                <w:sz w:val="28"/>
                <w:szCs w:val="28"/>
              </w:rPr>
              <w:t>培训费</w:t>
            </w:r>
          </w:p>
        </w:tc>
        <w:tc>
          <w:tcPr>
            <w:tcW w:w="4399" w:type="dxa"/>
            <w:gridSpan w:val="3"/>
            <w:vAlign w:val="center"/>
          </w:tcPr>
          <w:p w:rsidR="003C1B46" w:rsidRDefault="003C1B46" w:rsidP="005F39F2">
            <w:pPr>
              <w:spacing w:line="520" w:lineRule="exact"/>
              <w:jc w:val="right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万    仟   佰    拾  元</w:t>
            </w:r>
          </w:p>
        </w:tc>
        <w:tc>
          <w:tcPr>
            <w:tcW w:w="4159" w:type="dxa"/>
            <w:gridSpan w:val="3"/>
            <w:vAlign w:val="center"/>
          </w:tcPr>
          <w:p w:rsidR="003C1B46" w:rsidRDefault="003C1B46" w:rsidP="005F39F2">
            <w:pPr>
              <w:spacing w:line="520" w:lineRule="exact"/>
              <w:ind w:right="560"/>
              <w:jc w:val="center"/>
              <w:rPr>
                <w:rFonts w:asci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是否食宿  是（）否（）</w:t>
            </w:r>
          </w:p>
        </w:tc>
      </w:tr>
      <w:tr w:rsidR="003C1B46" w:rsidTr="005F39F2">
        <w:trPr>
          <w:cantSplit/>
          <w:trHeight w:val="1150"/>
          <w:jc w:val="center"/>
        </w:trPr>
        <w:tc>
          <w:tcPr>
            <w:tcW w:w="6863" w:type="dxa"/>
            <w:gridSpan w:val="5"/>
            <w:vAlign w:val="center"/>
          </w:tcPr>
          <w:p w:rsidR="003C1B46" w:rsidRDefault="003C1B46" w:rsidP="005F39F2">
            <w:pPr>
              <w:spacing w:line="520" w:lineRule="exact"/>
              <w:ind w:right="700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请汇款至：</w:t>
            </w:r>
            <w:r>
              <w:rPr>
                <w:rStyle w:val="bodycopy1"/>
                <w:rFonts w:ascii="宋体" w:hint="eastAsia"/>
                <w:sz w:val="25"/>
                <w:szCs w:val="25"/>
              </w:rPr>
              <w:t>中联软博（北京）科技有限公司</w:t>
            </w:r>
          </w:p>
          <w:p w:rsidR="003C1B46" w:rsidRDefault="003C1B46" w:rsidP="005F39F2">
            <w:pPr>
              <w:spacing w:line="520" w:lineRule="exact"/>
              <w:ind w:right="700"/>
              <w:rPr>
                <w:rFonts w:ascii="宋体" w:hint="eastAsia"/>
                <w:bCs/>
                <w:color w:val="000000"/>
                <w:sz w:val="25"/>
                <w:szCs w:val="25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开 户 行：</w:t>
            </w:r>
            <w:r>
              <w:rPr>
                <w:rStyle w:val="bodycopy1"/>
                <w:rFonts w:ascii="宋体" w:hint="eastAsia"/>
                <w:sz w:val="25"/>
                <w:szCs w:val="25"/>
              </w:rPr>
              <w:t>中国工商银行股份有限公司北京中关村支行</w:t>
            </w:r>
          </w:p>
          <w:p w:rsidR="003C1B46" w:rsidRDefault="003C1B46" w:rsidP="005F39F2">
            <w:pPr>
              <w:spacing w:line="240" w:lineRule="atLeast"/>
              <w:ind w:right="700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账    号：</w:t>
            </w:r>
            <w:r>
              <w:rPr>
                <w:rStyle w:val="bodycopy1"/>
                <w:rFonts w:ascii="宋体" w:hint="eastAsia"/>
                <w:sz w:val="25"/>
                <w:szCs w:val="25"/>
              </w:rPr>
              <w:t>0200095609200088230</w:t>
            </w:r>
          </w:p>
        </w:tc>
        <w:tc>
          <w:tcPr>
            <w:tcW w:w="3366" w:type="dxa"/>
            <w:gridSpan w:val="2"/>
            <w:vAlign w:val="center"/>
          </w:tcPr>
          <w:p w:rsidR="003C1B46" w:rsidRDefault="003C1B46" w:rsidP="005F39F2">
            <w:pPr>
              <w:spacing w:line="240" w:lineRule="atLeast"/>
              <w:ind w:right="700"/>
              <w:rPr>
                <w:rFonts w:ascii="宋体" w:hint="eastAsia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 xml:space="preserve">  </w:t>
            </w:r>
          </w:p>
          <w:p w:rsidR="003C1B46" w:rsidRDefault="003C1B46" w:rsidP="005F39F2">
            <w:pPr>
              <w:spacing w:line="240" w:lineRule="atLeast"/>
              <w:ind w:right="700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5"/>
                <w:szCs w:val="25"/>
              </w:rPr>
              <w:t>参会单位签字或盖章</w:t>
            </w:r>
          </w:p>
        </w:tc>
      </w:tr>
    </w:tbl>
    <w:p w:rsidR="003C1B46" w:rsidRDefault="003C1B46" w:rsidP="003C1B46">
      <w:pPr>
        <w:spacing w:line="520" w:lineRule="exact"/>
        <w:rPr>
          <w:rStyle w:val="bodycopy1"/>
          <w:rFonts w:ascii="宋体" w:hint="eastAsia"/>
          <w:sz w:val="24"/>
          <w:szCs w:val="24"/>
        </w:rPr>
      </w:pPr>
    </w:p>
    <w:p w:rsidR="003C1B46" w:rsidRDefault="003C1B46" w:rsidP="003C1B46">
      <w:pPr>
        <w:spacing w:line="520" w:lineRule="exact"/>
        <w:rPr>
          <w:rFonts w:ascii="宋体" w:hint="eastAsia"/>
          <w:sz w:val="24"/>
          <w:szCs w:val="24"/>
        </w:rPr>
      </w:pPr>
      <w:r>
        <w:rPr>
          <w:rStyle w:val="bodycopy1"/>
          <w:rFonts w:ascii="宋体" w:hint="eastAsia"/>
          <w:sz w:val="24"/>
          <w:szCs w:val="24"/>
        </w:rPr>
        <w:t xml:space="preserve">联 系 人：叶馨     </w:t>
      </w:r>
      <w:r>
        <w:rPr>
          <w:rFonts w:ascii="宋体" w:hint="eastAsia"/>
          <w:sz w:val="24"/>
          <w:szCs w:val="24"/>
        </w:rPr>
        <w:t xml:space="preserve">            </w:t>
      </w:r>
      <w:r>
        <w:rPr>
          <w:rStyle w:val="bodycopy1"/>
          <w:rFonts w:ascii="宋体" w:hint="eastAsia"/>
          <w:sz w:val="24"/>
          <w:szCs w:val="24"/>
        </w:rPr>
        <w:t>电    话：020-66311548</w:t>
      </w:r>
    </w:p>
    <w:p w:rsidR="003C1B46" w:rsidRPr="00D74750" w:rsidRDefault="003C1B46" w:rsidP="003C1B46">
      <w:pPr>
        <w:spacing w:line="520" w:lineRule="exact"/>
        <w:rPr>
          <w:rFonts w:ascii="宋体" w:hint="eastAsia"/>
          <w:sz w:val="24"/>
          <w:szCs w:val="24"/>
        </w:rPr>
      </w:pPr>
      <w:r>
        <w:rPr>
          <w:rStyle w:val="bodycopy1"/>
          <w:rFonts w:ascii="宋体" w:hAnsi="宋体" w:hint="eastAsia"/>
          <w:sz w:val="25"/>
          <w:szCs w:val="25"/>
        </w:rPr>
        <w:t xml:space="preserve">传真：020-66814390           </w:t>
      </w:r>
      <w:r>
        <w:rPr>
          <w:rStyle w:val="bodycopy1"/>
          <w:rFonts w:ascii="宋体" w:hint="eastAsia"/>
          <w:sz w:val="24"/>
          <w:szCs w:val="24"/>
        </w:rPr>
        <w:t xml:space="preserve"> 电子邮箱：gzhea@vip.163.com</w:t>
      </w:r>
    </w:p>
    <w:p w:rsidR="00F33CB0" w:rsidRPr="003C1B46" w:rsidRDefault="00F33CB0"/>
    <w:sectPr w:rsidR="00F33CB0" w:rsidRPr="003C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10"/>
    <w:multiLevelType w:val="multilevel"/>
    <w:tmpl w:val="000000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11"/>
    <w:multiLevelType w:val="multilevel"/>
    <w:tmpl w:val="000000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12"/>
    <w:multiLevelType w:val="multilevel"/>
    <w:tmpl w:val="000000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13"/>
    <w:multiLevelType w:val="multilevel"/>
    <w:tmpl w:val="000000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14"/>
    <w:multiLevelType w:val="multilevel"/>
    <w:tmpl w:val="000000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B46"/>
    <w:rsid w:val="003C1B46"/>
    <w:rsid w:val="00F3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copy1">
    <w:name w:val="bodycopy1"/>
    <w:basedOn w:val="a0"/>
    <w:rsid w:val="003C1B46"/>
    <w:rPr>
      <w:rFonts w:ascii="Arial" w:hAnsi="Arial" w:cs="Arial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2352</Characters>
  <Application>Microsoft Office Word</Application>
  <DocSecurity>0</DocSecurity>
  <Lines>19</Lines>
  <Paragraphs>5</Paragraphs>
  <ScaleCrop>false</ScaleCrop>
  <Company>WwW.DEEPbbS.Org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2014-04-16T04:45:00Z</dcterms:created>
  <dcterms:modified xsi:type="dcterms:W3CDTF">2014-04-16T04:47:00Z</dcterms:modified>
</cp:coreProperties>
</file>