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FC" w:rsidRPr="00365417" w:rsidRDefault="00523FFC" w:rsidP="00523FFC">
      <w:pPr>
        <w:jc w:val="center"/>
        <w:rPr>
          <w:rFonts w:ascii="楷体_GB2312" w:eastAsia="楷体_GB2312" w:cs="Arial"/>
          <w:b/>
          <w:color w:val="000000"/>
          <w:sz w:val="36"/>
          <w:szCs w:val="36"/>
        </w:rPr>
      </w:pPr>
      <w:r w:rsidRPr="00365417">
        <w:rPr>
          <w:rFonts w:ascii="楷体_GB2312" w:eastAsia="楷体_GB2312" w:cs="Arial" w:hint="eastAsia"/>
          <w:b/>
          <w:color w:val="000000"/>
          <w:sz w:val="36"/>
          <w:szCs w:val="36"/>
        </w:rPr>
        <w:t>德国职业教育联盟简介</w:t>
      </w:r>
    </w:p>
    <w:p w:rsidR="00523FFC" w:rsidRDefault="00523FFC" w:rsidP="00523FFC">
      <w:pPr>
        <w:rPr>
          <w:rFonts w:ascii="Arial" w:eastAsia="楷体_GB2312" w:hAnsi="Arial" w:cs="Arial"/>
          <w:b/>
          <w:color w:val="000000"/>
          <w:sz w:val="24"/>
          <w:szCs w:val="24"/>
        </w:rPr>
      </w:pPr>
    </w:p>
    <w:p w:rsidR="00523FFC" w:rsidRPr="00365417" w:rsidRDefault="00523FFC" w:rsidP="00523FFC">
      <w:pPr>
        <w:spacing w:line="500" w:lineRule="exact"/>
        <w:rPr>
          <w:rFonts w:ascii="楷体_GB2312" w:eastAsia="楷体_GB2312" w:hAnsi="Arial" w:cs="Arial"/>
          <w:b/>
          <w:color w:val="000000"/>
          <w:sz w:val="30"/>
          <w:szCs w:val="30"/>
        </w:rPr>
      </w:pPr>
      <w:r w:rsidRPr="00365417">
        <w:rPr>
          <w:rFonts w:ascii="楷体_GB2312" w:eastAsia="楷体_GB2312" w:hAnsi="Arial" w:cs="Arial" w:hint="eastAsia"/>
          <w:b/>
          <w:color w:val="000000"/>
          <w:sz w:val="30"/>
          <w:szCs w:val="30"/>
        </w:rPr>
        <w:t>德国职业教育联盟</w:t>
      </w:r>
      <w:r w:rsidRPr="00365417">
        <w:rPr>
          <w:rFonts w:ascii="楷体_GB2312" w:eastAsia="楷体_GB2312" w:hAnsi="Arial" w:cs="Arial"/>
          <w:b/>
          <w:color w:val="000000"/>
          <w:sz w:val="30"/>
          <w:szCs w:val="30"/>
        </w:rPr>
        <w:t>(Q-Federation)</w:t>
      </w:r>
    </w:p>
    <w:p w:rsidR="00523FFC" w:rsidRPr="00365417" w:rsidRDefault="00523FFC" w:rsidP="00523FFC">
      <w:pPr>
        <w:spacing w:line="500" w:lineRule="exact"/>
        <w:rPr>
          <w:rFonts w:ascii="楷体_GB2312" w:eastAsia="楷体_GB2312" w:hAnsi="Arial" w:cs="Arial"/>
          <w:color w:val="000000"/>
          <w:sz w:val="30"/>
          <w:szCs w:val="30"/>
        </w:rPr>
      </w:pPr>
      <w:r w:rsidRPr="00365417">
        <w:rPr>
          <w:rFonts w:ascii="楷体_GB2312" w:eastAsia="楷体_GB2312" w:hAnsi="Arial" w:cs="Arial" w:hint="eastAsia"/>
          <w:color w:val="000000"/>
          <w:sz w:val="30"/>
          <w:szCs w:val="30"/>
        </w:rPr>
        <w:t>职业教育的杰出代表</w:t>
      </w:r>
      <w:r w:rsidRPr="00365417">
        <w:rPr>
          <w:rFonts w:ascii="楷体_GB2312" w:eastAsia="楷体_GB2312" w:hAnsi="Arial" w:cs="Arial"/>
          <w:color w:val="000000"/>
          <w:sz w:val="30"/>
          <w:szCs w:val="30"/>
        </w:rPr>
        <w:t>——</w:t>
      </w:r>
      <w:r w:rsidRPr="00365417">
        <w:rPr>
          <w:rFonts w:ascii="楷体_GB2312" w:eastAsia="楷体_GB2312" w:hAnsi="Arial" w:cs="Arial" w:hint="eastAsia"/>
          <w:color w:val="000000"/>
          <w:sz w:val="30"/>
          <w:szCs w:val="30"/>
        </w:rPr>
        <w:t>德国双元制职业教育体系</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德国职业教育联盟是在</w:t>
      </w:r>
      <w:r w:rsidRPr="00365417">
        <w:rPr>
          <w:rFonts w:ascii="楷体_GB2312" w:eastAsia="楷体_GB2312" w:hAnsi="Arial" w:cs="Arial"/>
          <w:sz w:val="30"/>
          <w:szCs w:val="30"/>
        </w:rPr>
        <w:t>1991</w:t>
      </w:r>
      <w:r w:rsidRPr="00365417">
        <w:rPr>
          <w:rFonts w:ascii="楷体_GB2312" w:eastAsia="楷体_GB2312" w:hAnsi="Arial" w:cs="Arial" w:hint="eastAsia"/>
          <w:sz w:val="30"/>
          <w:szCs w:val="30"/>
        </w:rPr>
        <w:t>年</w:t>
      </w:r>
      <w:r w:rsidRPr="00365417">
        <w:rPr>
          <w:rFonts w:ascii="楷体_GB2312" w:eastAsia="楷体_GB2312" w:hAnsi="Arial" w:cs="Arial"/>
          <w:sz w:val="30"/>
          <w:szCs w:val="30"/>
        </w:rPr>
        <w:t>2</w:t>
      </w:r>
      <w:r w:rsidRPr="00365417">
        <w:rPr>
          <w:rFonts w:ascii="楷体_GB2312" w:eastAsia="楷体_GB2312" w:hAnsi="Arial" w:cs="Arial" w:hint="eastAsia"/>
          <w:sz w:val="30"/>
          <w:szCs w:val="30"/>
        </w:rPr>
        <w:t>月由德国电器公司</w:t>
      </w:r>
      <w:r w:rsidRPr="00365417">
        <w:rPr>
          <w:rFonts w:ascii="楷体_GB2312" w:eastAsia="楷体_GB2312" w:hAnsi="Arial" w:cs="Arial"/>
          <w:sz w:val="30"/>
          <w:szCs w:val="30"/>
        </w:rPr>
        <w:t xml:space="preserve">, </w:t>
      </w:r>
      <w:r w:rsidRPr="00365417">
        <w:rPr>
          <w:rFonts w:ascii="楷体_GB2312" w:eastAsia="楷体_GB2312" w:hAnsi="Arial" w:cs="Arial" w:hint="eastAsia"/>
          <w:sz w:val="30"/>
          <w:szCs w:val="30"/>
        </w:rPr>
        <w:t>戴</w:t>
      </w:r>
      <w:proofErr w:type="gramStart"/>
      <w:r w:rsidRPr="00365417">
        <w:rPr>
          <w:rFonts w:ascii="楷体_GB2312" w:eastAsia="楷体_GB2312" w:hAnsi="Arial" w:cs="Arial" w:hint="eastAsia"/>
          <w:sz w:val="30"/>
          <w:szCs w:val="30"/>
        </w:rPr>
        <w:t>姆</w:t>
      </w:r>
      <w:proofErr w:type="gramEnd"/>
      <w:r w:rsidRPr="00365417">
        <w:rPr>
          <w:rFonts w:ascii="楷体_GB2312" w:eastAsia="楷体_GB2312" w:hAnsi="Arial" w:cs="Arial" w:hint="eastAsia"/>
          <w:sz w:val="30"/>
          <w:szCs w:val="30"/>
        </w:rPr>
        <w:t>勒奔驰汽车公司，费斯托有限公司，西门子有限公司，</w:t>
      </w:r>
      <w:proofErr w:type="gramStart"/>
      <w:r w:rsidRPr="00365417">
        <w:rPr>
          <w:rFonts w:ascii="楷体_GB2312" w:eastAsia="楷体_GB2312" w:hAnsi="Arial" w:cs="Arial" w:hint="eastAsia"/>
          <w:sz w:val="30"/>
          <w:szCs w:val="30"/>
        </w:rPr>
        <w:t>吉特迈公司</w:t>
      </w:r>
      <w:proofErr w:type="gramEnd"/>
      <w:r w:rsidRPr="00365417">
        <w:rPr>
          <w:rFonts w:ascii="楷体_GB2312" w:eastAsia="楷体_GB2312" w:hAnsi="Arial" w:cs="Arial" w:hint="eastAsia"/>
          <w:sz w:val="30"/>
          <w:szCs w:val="30"/>
        </w:rPr>
        <w:t>，菲尼克斯电气，德马吉机床集团和其他职业教育的专家组建而成。自</w:t>
      </w:r>
      <w:r w:rsidRPr="00365417">
        <w:rPr>
          <w:rFonts w:ascii="楷体_GB2312" w:eastAsia="楷体_GB2312" w:hAnsi="Arial" w:cs="Arial"/>
          <w:sz w:val="30"/>
          <w:szCs w:val="30"/>
        </w:rPr>
        <w:t>2011</w:t>
      </w:r>
      <w:r w:rsidRPr="00365417">
        <w:rPr>
          <w:rFonts w:ascii="楷体_GB2312" w:eastAsia="楷体_GB2312" w:hAnsi="Arial" w:cs="Arial" w:hint="eastAsia"/>
          <w:sz w:val="30"/>
          <w:szCs w:val="30"/>
        </w:rPr>
        <w:t>年起，艾克威茨（北京）咨询有限公司作为德国职业教育联盟中国代表处，在中国开展了一系列的职业教育活动。</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时至今日，大约有</w:t>
      </w:r>
      <w:r w:rsidRPr="00365417">
        <w:rPr>
          <w:rFonts w:ascii="楷体_GB2312" w:eastAsia="楷体_GB2312" w:hAnsi="Arial" w:cs="Arial"/>
          <w:sz w:val="30"/>
          <w:szCs w:val="30"/>
        </w:rPr>
        <w:t>200</w:t>
      </w:r>
      <w:r w:rsidRPr="00365417">
        <w:rPr>
          <w:rFonts w:ascii="楷体_GB2312" w:eastAsia="楷体_GB2312" w:hAnsi="Arial" w:cs="Arial" w:hint="eastAsia"/>
          <w:sz w:val="30"/>
          <w:szCs w:val="30"/>
        </w:rPr>
        <w:t>家培训机构、大学、培训公司、研究机构等成为了“德国职教联盟”成员，并使之成为享誉国内外的、建立在著名的德国双元制职业教育体系上的教育联盟。</w:t>
      </w:r>
    </w:p>
    <w:p w:rsidR="00523FFC" w:rsidRPr="00365417" w:rsidRDefault="00523FFC" w:rsidP="00523FFC">
      <w:pPr>
        <w:spacing w:line="500" w:lineRule="exact"/>
        <w:ind w:firstLine="480"/>
        <w:rPr>
          <w:rFonts w:ascii="楷体_GB2312" w:eastAsia="楷体_GB2312" w:hAnsi="Arial" w:cs="Arial"/>
          <w:sz w:val="30"/>
          <w:szCs w:val="30"/>
        </w:rPr>
      </w:pPr>
      <w:r w:rsidRPr="00365417">
        <w:rPr>
          <w:rFonts w:ascii="楷体_GB2312" w:eastAsia="楷体_GB2312" w:hAnsi="Arial" w:cs="Arial" w:hint="eastAsia"/>
          <w:sz w:val="30"/>
          <w:szCs w:val="30"/>
        </w:rPr>
        <w:t>德国职教联盟在职业和专业培训方面的核心和目标都是建立在双元制职业教育体系之上的，包含以下的层次和领域：</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职业目标和准备</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职业基础教育</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双元制职业教育</w:t>
      </w:r>
      <w:r w:rsidRPr="00365417">
        <w:rPr>
          <w:rFonts w:ascii="楷体_GB2312" w:eastAsia="楷体_GB2312" w:hAnsi="Arial" w:cs="Arial"/>
          <w:sz w:val="30"/>
          <w:szCs w:val="30"/>
        </w:rPr>
        <w:t>/</w:t>
      </w:r>
      <w:r w:rsidRPr="00365417">
        <w:rPr>
          <w:rFonts w:ascii="楷体_GB2312" w:eastAsia="楷体_GB2312" w:hAnsi="Arial" w:cs="Arial" w:hint="eastAsia"/>
          <w:sz w:val="30"/>
          <w:szCs w:val="30"/>
        </w:rPr>
        <w:t>全日制学校完成职业教育（包含实践课程）</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其他技能（商务外语，特殊焊接课程，技师的商务能力，电脑使用技术等）</w:t>
      </w:r>
    </w:p>
    <w:p w:rsidR="00523FFC" w:rsidRPr="00365417" w:rsidRDefault="00523FFC" w:rsidP="00523FFC">
      <w:pPr>
        <w:spacing w:line="500" w:lineRule="exact"/>
        <w:ind w:firstLineChars="200" w:firstLine="600"/>
        <w:rPr>
          <w:rFonts w:ascii="楷体_GB2312" w:eastAsia="楷体_GB2312" w:hAnsi="Arial" w:cs="Arial"/>
          <w:sz w:val="30"/>
          <w:szCs w:val="30"/>
        </w:rPr>
      </w:pPr>
      <w:proofErr w:type="gramStart"/>
      <w:r w:rsidRPr="00365417">
        <w:rPr>
          <w:rFonts w:ascii="楷体_GB2312" w:eastAsia="楷体_GB2312" w:hAnsi="Arial" w:cs="Arial" w:hint="eastAsia"/>
          <w:sz w:val="30"/>
          <w:szCs w:val="30"/>
        </w:rPr>
        <w:t>双元制进阶</w:t>
      </w:r>
      <w:proofErr w:type="gramEnd"/>
      <w:r w:rsidRPr="00365417">
        <w:rPr>
          <w:rFonts w:ascii="楷体_GB2312" w:eastAsia="楷体_GB2312" w:hAnsi="Arial" w:cs="Arial" w:hint="eastAsia"/>
          <w:sz w:val="30"/>
          <w:szCs w:val="30"/>
        </w:rPr>
        <w:t>教育（专业硕士，工程师，工商管理人员）</w:t>
      </w:r>
    </w:p>
    <w:p w:rsidR="00523FFC" w:rsidRPr="00365417" w:rsidRDefault="00523FFC" w:rsidP="00523FFC">
      <w:pPr>
        <w:spacing w:line="500" w:lineRule="exact"/>
        <w:ind w:firstLineChars="200" w:firstLine="600"/>
        <w:rPr>
          <w:rFonts w:ascii="楷体_GB2312" w:eastAsia="楷体_GB2312" w:hAnsi="Arial" w:cs="Arial"/>
          <w:sz w:val="30"/>
          <w:szCs w:val="30"/>
        </w:rPr>
      </w:pPr>
      <w:r w:rsidRPr="00365417">
        <w:rPr>
          <w:rFonts w:ascii="楷体_GB2312" w:eastAsia="楷体_GB2312" w:hAnsi="Arial" w:cs="Arial" w:hint="eastAsia"/>
          <w:sz w:val="30"/>
          <w:szCs w:val="30"/>
        </w:rPr>
        <w:t>双元制大学（</w:t>
      </w:r>
      <w:r w:rsidRPr="00365417">
        <w:rPr>
          <w:rFonts w:ascii="楷体_GB2312" w:eastAsia="楷体_GB2312" w:hAnsi="Arial" w:cs="Arial"/>
          <w:sz w:val="30"/>
          <w:szCs w:val="30"/>
        </w:rPr>
        <w:t>4</w:t>
      </w:r>
      <w:r w:rsidRPr="00365417">
        <w:rPr>
          <w:rFonts w:ascii="楷体_GB2312" w:eastAsia="楷体_GB2312" w:hAnsi="Arial" w:cs="Arial" w:hint="eastAsia"/>
          <w:sz w:val="30"/>
          <w:szCs w:val="30"/>
        </w:rPr>
        <w:t>年内完成职业教育和本科教育的双学位）</w:t>
      </w:r>
    </w:p>
    <w:p w:rsidR="00523FFC" w:rsidRPr="00365417" w:rsidRDefault="00523FFC" w:rsidP="00523FFC">
      <w:pPr>
        <w:spacing w:line="500" w:lineRule="exact"/>
        <w:ind w:firstLineChars="200" w:firstLine="600"/>
        <w:rPr>
          <w:rFonts w:ascii="楷体_GB2312" w:eastAsia="楷体_GB2312" w:hAnsi="Arial" w:cs="Arial"/>
          <w:color w:val="000000"/>
          <w:sz w:val="30"/>
          <w:szCs w:val="30"/>
        </w:rPr>
      </w:pPr>
      <w:r w:rsidRPr="00365417">
        <w:rPr>
          <w:rFonts w:ascii="楷体_GB2312" w:eastAsia="楷体_GB2312" w:hAnsi="Arial" w:cs="Arial" w:hint="eastAsia"/>
          <w:sz w:val="30"/>
          <w:szCs w:val="30"/>
        </w:rPr>
        <w:t>自</w:t>
      </w:r>
      <w:r w:rsidRPr="00365417">
        <w:rPr>
          <w:rFonts w:ascii="楷体_GB2312" w:eastAsia="楷体_GB2312" w:hAnsi="Arial" w:cs="Arial"/>
          <w:sz w:val="30"/>
          <w:szCs w:val="30"/>
        </w:rPr>
        <w:t>2009</w:t>
      </w:r>
      <w:r w:rsidRPr="00365417">
        <w:rPr>
          <w:rFonts w:ascii="楷体_GB2312" w:eastAsia="楷体_GB2312" w:hAnsi="Arial" w:cs="Arial" w:hint="eastAsia"/>
          <w:sz w:val="30"/>
          <w:szCs w:val="30"/>
        </w:rPr>
        <w:t>年起，德国职业教育联盟受德国联邦</w:t>
      </w:r>
      <w:r w:rsidRPr="00365417">
        <w:rPr>
          <w:rFonts w:ascii="楷体_GB2312" w:eastAsia="楷体_GB2312" w:hAnsi="Arial" w:cs="Arial" w:hint="eastAsia"/>
          <w:color w:val="000000"/>
          <w:sz w:val="30"/>
          <w:szCs w:val="30"/>
        </w:rPr>
        <w:t>教育与科学部的委托，每年在中国举办一届“中德双元制职业教育大会”。德国职业教育联盟负责在德国组织来自知名企业职业培训中心、职业院校、职业教育研究或咨询机构教育管理部门等的领导和管理人员进行参会。在中国各级政府的大力支持下，已经成功地举办了四届</w:t>
      </w:r>
      <w:r w:rsidRPr="00365417">
        <w:rPr>
          <w:rFonts w:ascii="楷体_GB2312" w:eastAsia="楷体_GB2312" w:hAnsi="Arial" w:cs="Arial" w:hint="eastAsia"/>
          <w:sz w:val="30"/>
          <w:szCs w:val="30"/>
        </w:rPr>
        <w:t>“中德双元制职业教育大会”。</w:t>
      </w:r>
    </w:p>
    <w:p w:rsidR="00523FFC" w:rsidRDefault="00523FFC" w:rsidP="00523FFC">
      <w:pPr>
        <w:widowControl/>
        <w:spacing w:afterLines="25"/>
        <w:ind w:firstLineChars="750" w:firstLine="3161"/>
        <w:rPr>
          <w:rFonts w:ascii="楷体_GB2312" w:eastAsia="楷体_GB2312" w:hAnsi="Arial" w:cs="Arial" w:hint="eastAsia"/>
          <w:b/>
          <w:spacing w:val="30"/>
          <w:kern w:val="0"/>
          <w:sz w:val="36"/>
          <w:szCs w:val="36"/>
          <w:lang w:val="de-DE"/>
        </w:rPr>
      </w:pPr>
    </w:p>
    <w:p w:rsidR="00523FFC" w:rsidRPr="00B373E9" w:rsidRDefault="00523FFC" w:rsidP="00523FFC">
      <w:pPr>
        <w:widowControl/>
        <w:spacing w:afterLines="25"/>
        <w:ind w:firstLineChars="750" w:firstLine="1575"/>
        <w:rPr>
          <w:rFonts w:ascii="楷体_GB2312" w:eastAsia="楷体_GB2312" w:hAnsi="Arial" w:cs="Arial"/>
          <w:spacing w:val="30"/>
          <w:kern w:val="0"/>
          <w:sz w:val="36"/>
          <w:szCs w:val="36"/>
          <w:lang w:val="de-DE"/>
        </w:rPr>
      </w:pPr>
      <w:r>
        <w:rPr>
          <w:rFonts w:ascii="Times New Roman" w:hAnsi="Times New Roman"/>
          <w:noProof/>
          <w:szCs w:val="24"/>
        </w:rPr>
        <w:lastRenderedPageBreak/>
        <w:drawing>
          <wp:anchor distT="0" distB="0" distL="114300" distR="114300" simplePos="0" relativeHeight="251660288" behindDoc="0" locked="0" layoutInCell="1" allowOverlap="0">
            <wp:simplePos x="0" y="0"/>
            <wp:positionH relativeFrom="column">
              <wp:posOffset>4876800</wp:posOffset>
            </wp:positionH>
            <wp:positionV relativeFrom="paragraph">
              <wp:posOffset>396240</wp:posOffset>
            </wp:positionV>
            <wp:extent cx="1514475" cy="2000250"/>
            <wp:effectExtent l="19050" t="0" r="9525" b="0"/>
            <wp:wrapNone/>
            <wp:docPr id="2" name="图片 3" descr="re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reuter"/>
                    <pic:cNvPicPr>
                      <a:picLocks noChangeAspect="1" noChangeArrowheads="1"/>
                    </pic:cNvPicPr>
                  </pic:nvPicPr>
                  <pic:blipFill>
                    <a:blip r:embed="rId4"/>
                    <a:srcRect/>
                    <a:stretch>
                      <a:fillRect/>
                    </a:stretch>
                  </pic:blipFill>
                  <pic:spPr bwMode="auto">
                    <a:xfrm>
                      <a:off x="0" y="0"/>
                      <a:ext cx="1514475" cy="2000250"/>
                    </a:xfrm>
                    <a:prstGeom prst="rect">
                      <a:avLst/>
                    </a:prstGeom>
                    <a:noFill/>
                  </pic:spPr>
                </pic:pic>
              </a:graphicData>
            </a:graphic>
          </wp:anchor>
        </w:drawing>
      </w:r>
      <w:r w:rsidRPr="00B373E9">
        <w:rPr>
          <w:rFonts w:ascii="楷体_GB2312" w:eastAsia="楷体_GB2312" w:hAnsi="Arial" w:cs="Arial"/>
          <w:b/>
          <w:spacing w:val="30"/>
          <w:kern w:val="0"/>
          <w:sz w:val="36"/>
          <w:szCs w:val="36"/>
          <w:lang w:val="de-DE"/>
        </w:rPr>
        <w:t>AKWC</w:t>
      </w:r>
      <w:r w:rsidRPr="00B373E9">
        <w:rPr>
          <w:rFonts w:ascii="楷体_GB2312" w:eastAsia="楷体_GB2312" w:hAnsi="Arial" w:cs="Arial" w:hint="eastAsia"/>
          <w:b/>
          <w:spacing w:val="30"/>
          <w:kern w:val="0"/>
          <w:sz w:val="36"/>
          <w:szCs w:val="36"/>
          <w:lang w:val="de-DE"/>
        </w:rPr>
        <w:t>专家情况简介</w:t>
      </w:r>
    </w:p>
    <w:p w:rsidR="00523FFC" w:rsidRPr="00B373E9" w:rsidRDefault="00523FFC" w:rsidP="00523FFC">
      <w:pPr>
        <w:widowControl/>
        <w:spacing w:line="360" w:lineRule="exact"/>
        <w:rPr>
          <w:rFonts w:ascii="楷体_GB2312" w:eastAsia="楷体_GB2312" w:hAnsi="Arial"/>
          <w:b/>
          <w:bCs/>
          <w:kern w:val="0"/>
          <w:sz w:val="24"/>
          <w:lang w:val="de-DE"/>
        </w:rPr>
      </w:pPr>
      <w:r w:rsidRPr="00B373E9">
        <w:rPr>
          <w:rFonts w:ascii="楷体_GB2312" w:eastAsia="楷体_GB2312" w:hAnsi="Arial" w:hint="eastAsia"/>
          <w:b/>
          <w:bCs/>
          <w:kern w:val="0"/>
          <w:sz w:val="24"/>
          <w:lang w:val="de-DE"/>
        </w:rPr>
        <w:t>基本情况</w:t>
      </w:r>
    </w:p>
    <w:p w:rsidR="00523FFC" w:rsidRPr="00B373E9" w:rsidRDefault="00523FFC" w:rsidP="00523FFC">
      <w:pPr>
        <w:spacing w:line="360" w:lineRule="exact"/>
        <w:rPr>
          <w:rFonts w:ascii="楷体_GB2312" w:eastAsia="楷体_GB2312" w:hAnsi="Arial" w:cs="Arial"/>
          <w:bCs/>
          <w:kern w:val="0"/>
          <w:sz w:val="24"/>
          <w:lang w:val="de-DE"/>
        </w:rPr>
      </w:pPr>
      <w:r w:rsidRPr="00B373E9">
        <w:rPr>
          <w:rFonts w:ascii="楷体_GB2312" w:eastAsia="楷体_GB2312" w:hAnsi="Arial" w:cs="Arial" w:hint="eastAsia"/>
          <w:bCs/>
          <w:kern w:val="0"/>
          <w:sz w:val="24"/>
          <w:lang w:val="de-DE"/>
        </w:rPr>
        <w:t>姓名：</w:t>
      </w:r>
      <w:r w:rsidRPr="00B373E9">
        <w:rPr>
          <w:rFonts w:ascii="楷体_GB2312" w:eastAsia="楷体_GB2312" w:hAnsi="Arial" w:cs="Arial"/>
          <w:bCs/>
          <w:kern w:val="0"/>
          <w:sz w:val="24"/>
          <w:lang w:val="de-DE"/>
        </w:rPr>
        <w:t xml:space="preserve"> </w:t>
      </w:r>
      <w:r w:rsidRPr="00B373E9">
        <w:rPr>
          <w:rFonts w:ascii="楷体_GB2312" w:eastAsia="楷体_GB2312" w:hAnsi="Arial" w:cs="Arial"/>
          <w:color w:val="000000"/>
          <w:kern w:val="0"/>
          <w:sz w:val="24"/>
        </w:rPr>
        <w:t>Wolfgang Reuter</w:t>
      </w:r>
      <w:r w:rsidRPr="00B373E9">
        <w:rPr>
          <w:rFonts w:ascii="楷体_GB2312" w:eastAsia="楷体_GB2312" w:hAnsi="Arial" w:cs="Arial" w:hint="eastAsia"/>
          <w:color w:val="000000"/>
          <w:kern w:val="0"/>
          <w:sz w:val="24"/>
        </w:rPr>
        <w:t>沃尔夫冈</w:t>
      </w:r>
      <w:r w:rsidRPr="00B373E9">
        <w:rPr>
          <w:rFonts w:ascii="楷体_GB2312" w:eastAsia="楷体_GB2312" w:hAnsi="Wingdings" w:hint="eastAsia"/>
          <w:bCs/>
          <w:kern w:val="0"/>
          <w:sz w:val="24"/>
          <w:lang w:val="de-DE"/>
        </w:rPr>
        <w:sym w:font="Wingdings" w:char="F09F"/>
      </w:r>
      <w:r w:rsidRPr="00B373E9">
        <w:rPr>
          <w:rFonts w:ascii="楷体_GB2312" w:eastAsia="楷体_GB2312" w:hAnsi="Arial" w:hint="eastAsia"/>
          <w:bCs/>
          <w:kern w:val="0"/>
          <w:sz w:val="24"/>
          <w:lang w:val="de-DE"/>
        </w:rPr>
        <w:t>罗伊特</w:t>
      </w:r>
    </w:p>
    <w:p w:rsidR="00523FFC" w:rsidRPr="00B373E9" w:rsidRDefault="00523FFC" w:rsidP="00523FFC">
      <w:pPr>
        <w:widowControl/>
        <w:snapToGrid w:val="0"/>
        <w:spacing w:afterLines="25" w:line="360" w:lineRule="exact"/>
        <w:jc w:val="left"/>
        <w:rPr>
          <w:rFonts w:ascii="楷体_GB2312" w:eastAsia="楷体_GB2312" w:hAnsi="Arial" w:cs="Arial"/>
          <w:bCs/>
          <w:kern w:val="0"/>
          <w:sz w:val="24"/>
          <w:lang w:val="de-DE"/>
        </w:rPr>
      </w:pPr>
      <w:r w:rsidRPr="00B373E9">
        <w:rPr>
          <w:rFonts w:ascii="楷体_GB2312" w:eastAsia="楷体_GB2312" w:hAnsi="Arial" w:cs="Arial" w:hint="eastAsia"/>
          <w:bCs/>
          <w:kern w:val="0"/>
          <w:sz w:val="24"/>
          <w:lang w:val="de-DE"/>
        </w:rPr>
        <w:t>性别：男</w:t>
      </w:r>
    </w:p>
    <w:p w:rsidR="00523FFC" w:rsidRPr="00B373E9" w:rsidRDefault="00523FFC" w:rsidP="00523FFC">
      <w:pPr>
        <w:widowControl/>
        <w:snapToGrid w:val="0"/>
        <w:spacing w:afterLines="25" w:line="360" w:lineRule="exact"/>
        <w:jc w:val="left"/>
        <w:rPr>
          <w:rFonts w:ascii="楷体_GB2312" w:eastAsia="楷体_GB2312" w:hAnsi="Arial" w:cs="Arial"/>
          <w:bCs/>
          <w:kern w:val="0"/>
          <w:sz w:val="24"/>
          <w:lang w:val="de-DE"/>
        </w:rPr>
      </w:pPr>
      <w:r w:rsidRPr="00B373E9">
        <w:rPr>
          <w:rFonts w:ascii="楷体_GB2312" w:eastAsia="楷体_GB2312" w:hAnsi="Arial" w:cs="Arial" w:hint="eastAsia"/>
          <w:bCs/>
          <w:kern w:val="0"/>
          <w:sz w:val="24"/>
          <w:lang w:val="de-DE"/>
        </w:rPr>
        <w:t>年龄：</w:t>
      </w:r>
      <w:r w:rsidRPr="00B373E9">
        <w:rPr>
          <w:rFonts w:ascii="楷体_GB2312" w:eastAsia="楷体_GB2312" w:hAnsi="Arial" w:cs="Arial"/>
          <w:bCs/>
          <w:kern w:val="0"/>
          <w:sz w:val="24"/>
          <w:lang w:val="de-DE"/>
        </w:rPr>
        <w:t>62</w:t>
      </w:r>
    </w:p>
    <w:p w:rsidR="00523FFC" w:rsidRPr="00B373E9" w:rsidRDefault="00523FFC" w:rsidP="00523FFC">
      <w:pPr>
        <w:widowControl/>
        <w:spacing w:line="360" w:lineRule="exact"/>
        <w:rPr>
          <w:rFonts w:ascii="楷体_GB2312" w:eastAsia="楷体_GB2312" w:hAnsi="Arial"/>
          <w:b/>
          <w:bCs/>
          <w:kern w:val="0"/>
          <w:sz w:val="24"/>
          <w:lang w:val="de-DE"/>
        </w:rPr>
      </w:pPr>
      <w:r w:rsidRPr="00B373E9">
        <w:rPr>
          <w:rFonts w:ascii="楷体_GB2312" w:eastAsia="楷体_GB2312" w:hAnsi="Arial" w:hint="eastAsia"/>
          <w:b/>
          <w:bCs/>
          <w:kern w:val="0"/>
          <w:sz w:val="24"/>
          <w:lang w:val="de-DE"/>
        </w:rPr>
        <w:t>教育背景</w:t>
      </w:r>
    </w:p>
    <w:p w:rsidR="00523FFC" w:rsidRPr="00B373E9" w:rsidRDefault="00523FFC" w:rsidP="00523FFC">
      <w:pPr>
        <w:pStyle w:val="a5"/>
        <w:tabs>
          <w:tab w:val="left" w:pos="993"/>
        </w:tabs>
        <w:spacing w:line="360" w:lineRule="exact"/>
        <w:rPr>
          <w:rFonts w:ascii="楷体_GB2312" w:eastAsia="楷体_GB2312" w:hAnsi="Arial" w:cs="Arial"/>
          <w:sz w:val="24"/>
          <w:szCs w:val="24"/>
        </w:rPr>
      </w:pPr>
      <w:r w:rsidRPr="00B373E9">
        <w:rPr>
          <w:rFonts w:ascii="楷体_GB2312" w:eastAsia="楷体_GB2312" w:hAnsi="Arial" w:cs="Arial"/>
          <w:sz w:val="24"/>
          <w:szCs w:val="24"/>
        </w:rPr>
        <w:t xml:space="preserve">1970- 1975    </w:t>
      </w:r>
      <w:r w:rsidRPr="00B373E9">
        <w:rPr>
          <w:rFonts w:ascii="楷体_GB2312" w:eastAsia="楷体_GB2312" w:hAnsi="Arial" w:cs="Arial" w:hint="eastAsia"/>
          <w:sz w:val="24"/>
          <w:szCs w:val="24"/>
        </w:rPr>
        <w:t>德国波鸿大学工程学专业，硕士工程师学位</w:t>
      </w:r>
    </w:p>
    <w:p w:rsidR="00523FFC" w:rsidRPr="00B373E9" w:rsidRDefault="00523FFC" w:rsidP="00523FFC">
      <w:pPr>
        <w:pStyle w:val="a5"/>
        <w:tabs>
          <w:tab w:val="left" w:pos="993"/>
        </w:tabs>
        <w:spacing w:line="360" w:lineRule="exact"/>
        <w:rPr>
          <w:rFonts w:ascii="楷体_GB2312" w:eastAsia="楷体_GB2312" w:hAnsi="Arial" w:cs="Arial"/>
          <w:sz w:val="24"/>
          <w:szCs w:val="24"/>
        </w:rPr>
      </w:pPr>
      <w:r w:rsidRPr="00B373E9">
        <w:rPr>
          <w:rFonts w:ascii="楷体_GB2312" w:eastAsia="楷体_GB2312" w:hAnsi="Arial" w:cs="Arial"/>
          <w:sz w:val="24"/>
          <w:szCs w:val="24"/>
        </w:rPr>
        <w:t xml:space="preserve">1975- 1979    </w:t>
      </w:r>
      <w:r w:rsidRPr="00B373E9">
        <w:rPr>
          <w:rFonts w:ascii="楷体_GB2312" w:eastAsia="楷体_GB2312" w:hAnsi="Arial" w:cs="Arial" w:hint="eastAsia"/>
          <w:sz w:val="24"/>
          <w:szCs w:val="24"/>
        </w:rPr>
        <w:t>德国多特蒙德大学经济学及教育学专业，</w:t>
      </w:r>
    </w:p>
    <w:p w:rsidR="00523FFC" w:rsidRPr="00B373E9" w:rsidRDefault="00523FFC" w:rsidP="00523FFC">
      <w:pPr>
        <w:pStyle w:val="a5"/>
        <w:tabs>
          <w:tab w:val="left" w:pos="1710"/>
        </w:tabs>
        <w:spacing w:line="360" w:lineRule="exact"/>
        <w:rPr>
          <w:rFonts w:ascii="楷体_GB2312" w:eastAsia="楷体_GB2312" w:hAnsi="Arial" w:cs="Arial"/>
          <w:sz w:val="24"/>
          <w:szCs w:val="24"/>
        </w:rPr>
      </w:pPr>
      <w:r w:rsidRPr="00B373E9">
        <w:tab/>
      </w:r>
      <w:r w:rsidRPr="00B373E9">
        <w:rPr>
          <w:rFonts w:ascii="楷体_GB2312" w:eastAsia="楷体_GB2312" w:hAnsi="Arial" w:cs="Arial" w:hint="eastAsia"/>
          <w:sz w:val="24"/>
          <w:szCs w:val="24"/>
        </w:rPr>
        <w:t>通过德国第一和第二的国家考试</w:t>
      </w:r>
    </w:p>
    <w:p w:rsidR="00523FFC" w:rsidRPr="00B373E9" w:rsidRDefault="00523FFC" w:rsidP="00523FFC">
      <w:pPr>
        <w:widowControl/>
        <w:spacing w:line="360" w:lineRule="exact"/>
        <w:rPr>
          <w:rFonts w:ascii="楷体_GB2312" w:eastAsia="楷体_GB2312" w:hAnsi="Arial"/>
          <w:b/>
          <w:bCs/>
          <w:kern w:val="0"/>
          <w:sz w:val="24"/>
          <w:lang w:val="de-DE"/>
        </w:rPr>
      </w:pPr>
      <w:r w:rsidRPr="00B373E9">
        <w:rPr>
          <w:rFonts w:ascii="楷体_GB2312" w:eastAsia="楷体_GB2312" w:hAnsi="Arial" w:hint="eastAsia"/>
          <w:b/>
          <w:bCs/>
          <w:kern w:val="0"/>
          <w:sz w:val="24"/>
          <w:lang w:val="de-DE"/>
        </w:rPr>
        <w:t>工作经历</w:t>
      </w:r>
    </w:p>
    <w:p w:rsidR="00523FFC" w:rsidRPr="00B373E9" w:rsidRDefault="00523FFC" w:rsidP="00523FFC">
      <w:pPr>
        <w:pStyle w:val="a5"/>
        <w:tabs>
          <w:tab w:val="left" w:pos="993"/>
        </w:tabs>
        <w:spacing w:line="360" w:lineRule="exact"/>
        <w:rPr>
          <w:rFonts w:ascii="楷体_GB2312" w:eastAsia="楷体_GB2312" w:hAnsi="Arial" w:cs="Arial"/>
          <w:kern w:val="0"/>
          <w:sz w:val="24"/>
          <w:szCs w:val="24"/>
        </w:rPr>
      </w:pPr>
      <w:r w:rsidRPr="00B373E9">
        <w:rPr>
          <w:rFonts w:ascii="楷体_GB2312" w:eastAsia="楷体_GB2312" w:hAnsi="Arial" w:cs="Arial"/>
          <w:sz w:val="24"/>
          <w:szCs w:val="24"/>
        </w:rPr>
        <w:t xml:space="preserve">1980- 1986    </w:t>
      </w:r>
      <w:r w:rsidRPr="00B373E9">
        <w:rPr>
          <w:rFonts w:ascii="楷体_GB2312" w:eastAsia="楷体_GB2312" w:hAnsi="Arial" w:cs="Arial" w:hint="eastAsia"/>
          <w:kern w:val="0"/>
          <w:sz w:val="24"/>
          <w:szCs w:val="24"/>
        </w:rPr>
        <w:t>杜塞尔多夫的北莱茵</w:t>
      </w:r>
      <w:r w:rsidRPr="00B373E9">
        <w:rPr>
          <w:rFonts w:ascii="楷体_GB2312" w:eastAsia="楷体_GB2312" w:hAnsi="Arial" w:cs="Arial"/>
          <w:kern w:val="0"/>
          <w:sz w:val="24"/>
          <w:szCs w:val="24"/>
        </w:rPr>
        <w:t>-</w:t>
      </w:r>
      <w:r w:rsidRPr="00B373E9">
        <w:rPr>
          <w:rFonts w:ascii="楷体_GB2312" w:eastAsia="楷体_GB2312" w:hAnsi="Arial" w:cs="Arial" w:hint="eastAsia"/>
          <w:kern w:val="0"/>
          <w:sz w:val="24"/>
          <w:szCs w:val="24"/>
        </w:rPr>
        <w:t>威斯特法伦州劳动部</w:t>
      </w:r>
      <w:r w:rsidRPr="00B373E9">
        <w:rPr>
          <w:rFonts w:ascii="楷体_GB2312" w:eastAsia="楷体_GB2312" w:hAnsi="Arial" w:cs="Arial" w:hint="eastAsia"/>
          <w:sz w:val="24"/>
          <w:szCs w:val="24"/>
        </w:rPr>
        <w:t>项目负责人</w:t>
      </w:r>
    </w:p>
    <w:p w:rsidR="00523FFC" w:rsidRPr="00B373E9" w:rsidRDefault="00523FFC" w:rsidP="00523FFC">
      <w:pPr>
        <w:pStyle w:val="a5"/>
        <w:tabs>
          <w:tab w:val="left" w:pos="993"/>
        </w:tabs>
        <w:spacing w:line="360" w:lineRule="exact"/>
        <w:ind w:leftChars="602" w:left="1504" w:hangingChars="100" w:hanging="240"/>
        <w:rPr>
          <w:rFonts w:ascii="楷体_GB2312" w:eastAsia="楷体_GB2312" w:hAnsi="Arial" w:cs="Arial"/>
          <w:kern w:val="0"/>
          <w:sz w:val="24"/>
          <w:szCs w:val="24"/>
        </w:rPr>
      </w:pPr>
      <w:r w:rsidRPr="00B373E9">
        <w:rPr>
          <w:rFonts w:ascii="楷体_GB2312" w:eastAsia="楷体_GB2312" w:hAnsi="Arial" w:cs="Arial"/>
          <w:kern w:val="0"/>
          <w:sz w:val="24"/>
          <w:szCs w:val="24"/>
        </w:rPr>
        <w:tab/>
      </w:r>
      <w:r w:rsidRPr="00B373E9">
        <w:rPr>
          <w:rFonts w:ascii="楷体_GB2312" w:eastAsia="楷体_GB2312" w:hAnsi="Arial" w:cs="Arial" w:hint="eastAsia"/>
          <w:kern w:val="0"/>
          <w:sz w:val="24"/>
          <w:szCs w:val="24"/>
        </w:rPr>
        <w:t>制定青年人从学校</w:t>
      </w:r>
      <w:proofErr w:type="gramStart"/>
      <w:r w:rsidRPr="00B373E9">
        <w:rPr>
          <w:rFonts w:ascii="楷体_GB2312" w:eastAsia="楷体_GB2312" w:hAnsi="Arial" w:cs="Arial" w:hint="eastAsia"/>
          <w:kern w:val="0"/>
          <w:sz w:val="24"/>
          <w:szCs w:val="24"/>
        </w:rPr>
        <w:t>到职场</w:t>
      </w:r>
      <w:proofErr w:type="gramEnd"/>
      <w:r w:rsidRPr="00B373E9">
        <w:rPr>
          <w:rFonts w:ascii="楷体_GB2312" w:eastAsia="楷体_GB2312" w:hAnsi="Arial" w:cs="Arial" w:hint="eastAsia"/>
          <w:kern w:val="0"/>
          <w:sz w:val="24"/>
          <w:szCs w:val="24"/>
        </w:rPr>
        <w:t>过渡阶段的国家计划，其工作包括课程设置、媒体开发、教师培训和进修、针对所实施的措施及其影响的评估。</w:t>
      </w:r>
    </w:p>
    <w:p w:rsidR="00523FFC" w:rsidRPr="00B373E9" w:rsidRDefault="00523FFC" w:rsidP="00523FFC">
      <w:pPr>
        <w:pStyle w:val="a5"/>
        <w:tabs>
          <w:tab w:val="left" w:pos="993"/>
        </w:tabs>
        <w:spacing w:line="360" w:lineRule="exact"/>
        <w:ind w:leftChars="-15" w:left="1687" w:hangingChars="716" w:hanging="1718"/>
        <w:rPr>
          <w:rFonts w:ascii="楷体_GB2312" w:eastAsia="楷体_GB2312" w:hAnsi="Arial" w:cs="Arial"/>
          <w:sz w:val="24"/>
          <w:szCs w:val="24"/>
        </w:rPr>
      </w:pPr>
      <w:r w:rsidRPr="00B373E9">
        <w:rPr>
          <w:rFonts w:ascii="楷体_GB2312" w:eastAsia="楷体_GB2312" w:hAnsi="Arial" w:cs="Arial"/>
          <w:sz w:val="24"/>
          <w:szCs w:val="24"/>
        </w:rPr>
        <w:t xml:space="preserve">1986-1991     </w:t>
      </w:r>
      <w:r w:rsidRPr="00B373E9">
        <w:rPr>
          <w:rFonts w:ascii="楷体_GB2312" w:eastAsia="楷体_GB2312" w:hAnsi="Arial" w:cs="Arial" w:hint="eastAsia"/>
          <w:sz w:val="24"/>
          <w:szCs w:val="24"/>
        </w:rPr>
        <w:t>汉诺威弗里德里希出版社《</w:t>
      </w:r>
      <w:proofErr w:type="spellStart"/>
      <w:r w:rsidRPr="00B373E9">
        <w:rPr>
          <w:rFonts w:ascii="楷体_GB2312" w:eastAsia="楷体_GB2312" w:hAnsi="Arial" w:cs="Arial"/>
          <w:sz w:val="24"/>
          <w:szCs w:val="24"/>
        </w:rPr>
        <w:t>Lernfeld</w:t>
      </w:r>
      <w:proofErr w:type="spellEnd"/>
      <w:r w:rsidRPr="00B373E9">
        <w:rPr>
          <w:rFonts w:ascii="楷体_GB2312" w:eastAsia="楷体_GB2312" w:hAnsi="Arial" w:cs="Arial"/>
          <w:sz w:val="24"/>
          <w:szCs w:val="24"/>
        </w:rPr>
        <w:t xml:space="preserve"> </w:t>
      </w:r>
      <w:proofErr w:type="spellStart"/>
      <w:r w:rsidRPr="00B373E9">
        <w:rPr>
          <w:rFonts w:ascii="楷体_GB2312" w:eastAsia="楷体_GB2312" w:hAnsi="Arial" w:cs="Arial"/>
          <w:sz w:val="24"/>
          <w:szCs w:val="24"/>
        </w:rPr>
        <w:t>Betrieb</w:t>
      </w:r>
      <w:proofErr w:type="spellEnd"/>
      <w:r w:rsidRPr="00B373E9">
        <w:rPr>
          <w:rFonts w:ascii="楷体_GB2312" w:eastAsia="楷体_GB2312" w:hAnsi="Arial" w:cs="Arial" w:hint="eastAsia"/>
          <w:sz w:val="24"/>
          <w:szCs w:val="24"/>
        </w:rPr>
        <w:t>》杂志主编</w:t>
      </w:r>
    </w:p>
    <w:p w:rsidR="00523FFC" w:rsidRPr="00B373E9" w:rsidRDefault="00523FFC" w:rsidP="00523FFC">
      <w:pPr>
        <w:pStyle w:val="a5"/>
        <w:tabs>
          <w:tab w:val="left" w:pos="993"/>
        </w:tabs>
        <w:spacing w:line="360" w:lineRule="exact"/>
        <w:ind w:leftChars="706" w:left="1603" w:hangingChars="50" w:hanging="120"/>
        <w:rPr>
          <w:rFonts w:ascii="楷体_GB2312" w:eastAsia="楷体_GB2312" w:hAnsi="Arial" w:cs="Arial"/>
          <w:sz w:val="24"/>
          <w:szCs w:val="24"/>
        </w:rPr>
      </w:pPr>
      <w:r w:rsidRPr="00B373E9">
        <w:rPr>
          <w:rFonts w:ascii="楷体_GB2312" w:eastAsia="楷体_GB2312" w:hAnsi="Arial" w:cs="Arial" w:hint="eastAsia"/>
          <w:sz w:val="24"/>
          <w:szCs w:val="24"/>
        </w:rPr>
        <w:t>《</w:t>
      </w:r>
      <w:proofErr w:type="spellStart"/>
      <w:r w:rsidRPr="00B373E9">
        <w:rPr>
          <w:rFonts w:ascii="楷体_GB2312" w:eastAsia="楷体_GB2312" w:hAnsi="Arial" w:cs="Arial"/>
          <w:sz w:val="24"/>
          <w:szCs w:val="24"/>
        </w:rPr>
        <w:t>Lernfeld</w:t>
      </w:r>
      <w:proofErr w:type="spellEnd"/>
      <w:r w:rsidRPr="00B373E9">
        <w:rPr>
          <w:rFonts w:ascii="楷体_GB2312" w:eastAsia="楷体_GB2312" w:hAnsi="Arial" w:cs="Arial"/>
          <w:sz w:val="24"/>
          <w:szCs w:val="24"/>
        </w:rPr>
        <w:t xml:space="preserve"> </w:t>
      </w:r>
      <w:proofErr w:type="spellStart"/>
      <w:r w:rsidRPr="00B373E9">
        <w:rPr>
          <w:rFonts w:ascii="楷体_GB2312" w:eastAsia="楷体_GB2312" w:hAnsi="Arial" w:cs="Arial"/>
          <w:sz w:val="24"/>
          <w:szCs w:val="24"/>
        </w:rPr>
        <w:t>Betrieb</w:t>
      </w:r>
      <w:proofErr w:type="spellEnd"/>
      <w:r w:rsidRPr="00B373E9">
        <w:rPr>
          <w:rFonts w:ascii="楷体_GB2312" w:eastAsia="楷体_GB2312" w:hAnsi="Arial" w:cs="Arial" w:hint="eastAsia"/>
          <w:sz w:val="24"/>
          <w:szCs w:val="24"/>
        </w:rPr>
        <w:t>》杂志是德国第一本职业培训专业杂志，由弗里德里希出版社和克勒</w:t>
      </w:r>
      <w:proofErr w:type="gramStart"/>
      <w:r w:rsidRPr="00B373E9">
        <w:rPr>
          <w:rFonts w:ascii="楷体_GB2312" w:eastAsia="楷体_GB2312" w:hAnsi="Arial" w:cs="Arial" w:hint="eastAsia"/>
          <w:sz w:val="24"/>
          <w:szCs w:val="24"/>
        </w:rPr>
        <w:t>特</w:t>
      </w:r>
      <w:proofErr w:type="gramEnd"/>
      <w:r w:rsidRPr="00B373E9">
        <w:rPr>
          <w:rFonts w:ascii="楷体_GB2312" w:eastAsia="楷体_GB2312" w:hAnsi="Arial" w:cs="Arial" w:hint="eastAsia"/>
          <w:sz w:val="24"/>
          <w:szCs w:val="24"/>
        </w:rPr>
        <w:t>出版社共同出版。</w:t>
      </w:r>
    </w:p>
    <w:p w:rsidR="00523FFC" w:rsidRPr="00B373E9" w:rsidRDefault="00523FFC" w:rsidP="00523FFC">
      <w:pPr>
        <w:pStyle w:val="a5"/>
        <w:tabs>
          <w:tab w:val="left" w:pos="993"/>
        </w:tabs>
        <w:spacing w:line="360" w:lineRule="exact"/>
        <w:rPr>
          <w:rFonts w:ascii="楷体_GB2312" w:eastAsia="楷体_GB2312" w:hAnsi="Arial" w:cs="Arial"/>
          <w:sz w:val="24"/>
          <w:szCs w:val="24"/>
        </w:rPr>
      </w:pPr>
      <w:r w:rsidRPr="00B373E9">
        <w:rPr>
          <w:rFonts w:ascii="楷体_GB2312" w:eastAsia="楷体_GB2312" w:hAnsi="Arial" w:cs="Arial"/>
          <w:kern w:val="0"/>
          <w:sz w:val="24"/>
          <w:szCs w:val="24"/>
        </w:rPr>
        <w:t>1991</w:t>
      </w:r>
      <w:r w:rsidRPr="00B373E9">
        <w:rPr>
          <w:rFonts w:ascii="楷体_GB2312" w:eastAsia="楷体_GB2312" w:hAnsi="Arial" w:cs="Arial" w:hint="eastAsia"/>
          <w:kern w:val="0"/>
          <w:sz w:val="24"/>
          <w:szCs w:val="24"/>
        </w:rPr>
        <w:t>至今</w:t>
      </w:r>
      <w:r w:rsidRPr="00B373E9">
        <w:rPr>
          <w:rFonts w:ascii="楷体_GB2312" w:eastAsia="楷体_GB2312" w:hAnsi="Arial" w:cs="Arial"/>
          <w:kern w:val="0"/>
          <w:sz w:val="24"/>
          <w:szCs w:val="24"/>
        </w:rPr>
        <w:t xml:space="preserve">      </w:t>
      </w:r>
      <w:r w:rsidRPr="00B373E9">
        <w:rPr>
          <w:rFonts w:ascii="楷体_GB2312" w:eastAsia="楷体_GB2312" w:hAnsi="Arial" w:cs="Arial" w:hint="eastAsia"/>
          <w:kern w:val="0"/>
          <w:sz w:val="24"/>
          <w:szCs w:val="24"/>
        </w:rPr>
        <w:t>德国职业教育联盟主席及执行委员会成员，</w:t>
      </w:r>
    </w:p>
    <w:p w:rsidR="00523FFC" w:rsidRPr="00B373E9" w:rsidRDefault="00523FFC" w:rsidP="00523FFC">
      <w:pPr>
        <w:widowControl/>
        <w:snapToGrid w:val="0"/>
        <w:spacing w:after="120" w:line="360" w:lineRule="exact"/>
        <w:ind w:leftChars="400" w:left="840" w:firstLineChars="340" w:firstLine="816"/>
        <w:jc w:val="left"/>
        <w:rPr>
          <w:rFonts w:ascii="楷体_GB2312" w:eastAsia="楷体_GB2312" w:hAnsi="Arial" w:cs="Arial"/>
          <w:kern w:val="0"/>
          <w:sz w:val="24"/>
        </w:rPr>
      </w:pPr>
      <w:r w:rsidRPr="00B373E9">
        <w:rPr>
          <w:rFonts w:ascii="楷体_GB2312" w:eastAsia="楷体_GB2312" w:hAnsi="Arial" w:cs="Arial" w:hint="eastAsia"/>
          <w:kern w:val="0"/>
          <w:sz w:val="24"/>
        </w:rPr>
        <w:t>德国职业教育联盟委员会承担了国内外职业及高级培训等大范围的工作，其中包括：</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自</w:t>
      </w:r>
      <w:r w:rsidRPr="00B373E9">
        <w:rPr>
          <w:rFonts w:ascii="楷体_GB2312" w:eastAsia="楷体_GB2312" w:hAnsi="Arial" w:cs="Arial"/>
          <w:kern w:val="0"/>
          <w:sz w:val="24"/>
        </w:rPr>
        <w:t>1995</w:t>
      </w:r>
      <w:r w:rsidRPr="00B373E9">
        <w:rPr>
          <w:rFonts w:ascii="楷体_GB2312" w:eastAsia="楷体_GB2312" w:hAnsi="Arial" w:cs="Arial" w:hint="eastAsia"/>
          <w:kern w:val="0"/>
          <w:sz w:val="24"/>
        </w:rPr>
        <w:t>年开始，在世界范围内包括在中国，组织职业以及高级培训的专业会议，安排中国代表团的职业教育学习之旅，参与职业教育领域的国际会议并发言</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建立职业教育相关的国内及国际网络</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实施职业培训转移项目</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实施交流项目</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实施联邦教育和研究部的职业培训试点项目</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实施欧盟职业培训试点项目</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专家与德国联邦议院协商合作</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定期在柏林发起会谈圈子“</w:t>
      </w:r>
      <w:r w:rsidRPr="00B373E9">
        <w:rPr>
          <w:rFonts w:ascii="楷体_GB2312" w:eastAsia="楷体_GB2312" w:hAnsi="Arial" w:cs="Arial"/>
          <w:kern w:val="0"/>
          <w:sz w:val="24"/>
        </w:rPr>
        <w:t>Q-Talk</w:t>
      </w:r>
      <w:r w:rsidRPr="00B373E9">
        <w:rPr>
          <w:rFonts w:ascii="楷体_GB2312" w:eastAsia="楷体_GB2312" w:hAnsi="Arial" w:cs="Arial" w:hint="eastAsia"/>
          <w:kern w:val="0"/>
          <w:sz w:val="24"/>
        </w:rPr>
        <w:t>”讨论政治和经济方面的职业培训</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与汉诺威的德国展会股份有限公司举办首次德国“资质”职业培训博览会</w:t>
      </w:r>
    </w:p>
    <w:p w:rsidR="00523FFC" w:rsidRPr="00B373E9" w:rsidRDefault="00523FFC" w:rsidP="00523FFC">
      <w:pPr>
        <w:widowControl/>
        <w:snapToGrid w:val="0"/>
        <w:spacing w:after="120" w:line="360" w:lineRule="exact"/>
        <w:ind w:leftChars="771" w:left="1847" w:hangingChars="95" w:hanging="228"/>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与英特尔、微软、</w:t>
      </w:r>
      <w:r w:rsidRPr="00B373E9">
        <w:rPr>
          <w:rFonts w:ascii="楷体_GB2312" w:eastAsia="楷体_GB2312" w:hAnsi="Arial" w:cs="Arial"/>
          <w:kern w:val="0"/>
          <w:sz w:val="24"/>
        </w:rPr>
        <w:t>Adobe</w:t>
      </w:r>
      <w:r w:rsidRPr="00B373E9">
        <w:rPr>
          <w:rFonts w:ascii="楷体_GB2312" w:eastAsia="楷体_GB2312" w:hAnsi="Arial" w:cs="Arial" w:hint="eastAsia"/>
          <w:kern w:val="0"/>
          <w:sz w:val="24"/>
        </w:rPr>
        <w:t>、苹果、谷歌和其它</w:t>
      </w:r>
      <w:r w:rsidRPr="00B373E9">
        <w:rPr>
          <w:rFonts w:ascii="楷体_GB2312" w:eastAsia="楷体_GB2312" w:hAnsi="Arial" w:cs="Arial"/>
          <w:kern w:val="0"/>
          <w:sz w:val="24"/>
        </w:rPr>
        <w:t>IT</w:t>
      </w:r>
      <w:r w:rsidRPr="00B373E9">
        <w:rPr>
          <w:rFonts w:ascii="楷体_GB2312" w:eastAsia="楷体_GB2312" w:hAnsi="Arial" w:cs="Arial" w:hint="eastAsia"/>
          <w:kern w:val="0"/>
          <w:sz w:val="24"/>
        </w:rPr>
        <w:t>企业合作，在德国发起</w:t>
      </w:r>
      <w:r w:rsidRPr="00B373E9">
        <w:rPr>
          <w:rFonts w:ascii="楷体_GB2312" w:eastAsia="楷体_GB2312" w:hAnsi="Arial" w:cs="Arial"/>
          <w:kern w:val="0"/>
          <w:sz w:val="24"/>
        </w:rPr>
        <w:t>IT-</w:t>
      </w:r>
      <w:r w:rsidRPr="00B373E9">
        <w:rPr>
          <w:rFonts w:ascii="楷体_GB2312" w:eastAsia="楷体_GB2312" w:hAnsi="Arial" w:cs="Arial" w:hint="eastAsia"/>
          <w:kern w:val="0"/>
          <w:sz w:val="24"/>
        </w:rPr>
        <w:t>倡议“数码教室”</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lastRenderedPageBreak/>
        <w:t xml:space="preserve">- </w:t>
      </w:r>
      <w:r w:rsidRPr="00B373E9">
        <w:rPr>
          <w:rFonts w:ascii="楷体_GB2312" w:eastAsia="楷体_GB2312" w:hAnsi="Arial" w:cs="Arial" w:hint="eastAsia"/>
          <w:kern w:val="0"/>
          <w:sz w:val="24"/>
        </w:rPr>
        <w:t>为外交部举办“卓越计划，创新学习”活动</w:t>
      </w:r>
      <w:r w:rsidRPr="00B373E9">
        <w:rPr>
          <w:rFonts w:ascii="楷体_GB2312" w:eastAsia="楷体_GB2312" w:hAnsi="Arial" w:cs="Arial"/>
          <w:kern w:val="0"/>
          <w:sz w:val="24"/>
        </w:rPr>
        <w:t xml:space="preserve"> </w:t>
      </w:r>
    </w:p>
    <w:p w:rsidR="00523FFC" w:rsidRPr="00B373E9" w:rsidRDefault="00523FFC" w:rsidP="00523FFC">
      <w:pPr>
        <w:widowControl/>
        <w:snapToGrid w:val="0"/>
        <w:spacing w:after="120" w:line="360" w:lineRule="exact"/>
        <w:ind w:leftChars="771" w:left="1729" w:hangingChars="46" w:hanging="110"/>
        <w:jc w:val="left"/>
        <w:rPr>
          <w:rFonts w:ascii="楷体_GB2312" w:eastAsia="楷体_GB2312" w:hAnsi="Arial" w:cs="Arial"/>
          <w:kern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出版杂志“</w:t>
      </w:r>
      <w:r w:rsidRPr="00B373E9">
        <w:rPr>
          <w:rFonts w:ascii="楷体_GB2312" w:eastAsia="楷体_GB2312" w:hAnsi="Arial" w:cs="Arial"/>
          <w:kern w:val="0"/>
          <w:sz w:val="24"/>
        </w:rPr>
        <w:t xml:space="preserve">Q-Magazine </w:t>
      </w:r>
      <w:r w:rsidRPr="00B373E9">
        <w:rPr>
          <w:rFonts w:ascii="楷体_GB2312" w:eastAsia="楷体_GB2312" w:hAnsi="Arial" w:cs="Arial" w:hint="eastAsia"/>
          <w:kern w:val="0"/>
          <w:sz w:val="24"/>
        </w:rPr>
        <w:t>职业与学习专业杂志”</w:t>
      </w:r>
    </w:p>
    <w:p w:rsidR="00523FFC" w:rsidRPr="00B373E9" w:rsidRDefault="00523FFC" w:rsidP="00523FFC">
      <w:pPr>
        <w:widowControl/>
        <w:snapToGrid w:val="0"/>
        <w:spacing w:after="120" w:line="360" w:lineRule="exact"/>
        <w:ind w:leftChars="771" w:left="1729" w:hangingChars="46" w:hanging="110"/>
        <w:jc w:val="left"/>
        <w:rPr>
          <w:rStyle w:val="a4"/>
          <w:rFonts w:ascii="楷体_GB2312" w:eastAsia="楷体_GB2312" w:hAnsi="Arial" w:cs="Arial"/>
          <w:b w:val="0"/>
          <w:bCs w:val="0"/>
          <w:sz w:val="24"/>
        </w:rPr>
      </w:pPr>
      <w:r w:rsidRPr="00B373E9">
        <w:rPr>
          <w:rFonts w:ascii="楷体_GB2312" w:eastAsia="楷体_GB2312" w:hAnsi="Arial" w:cs="Arial"/>
          <w:kern w:val="0"/>
          <w:sz w:val="24"/>
        </w:rPr>
        <w:t xml:space="preserve">- </w:t>
      </w:r>
      <w:r w:rsidRPr="00B373E9">
        <w:rPr>
          <w:rFonts w:ascii="楷体_GB2312" w:eastAsia="楷体_GB2312" w:hAnsi="Arial" w:cs="Arial" w:hint="eastAsia"/>
          <w:kern w:val="0"/>
          <w:sz w:val="24"/>
        </w:rPr>
        <w:t>受外交部委托，发起欧洲会议及国际研究合作（例如：在技术培训中使用在线学习）</w:t>
      </w:r>
      <w:r w:rsidRPr="00B373E9">
        <w:rPr>
          <w:rFonts w:ascii="楷体_GB2312" w:eastAsia="楷体_GB2312" w:hAnsi="Arial" w:cs="Arial"/>
          <w:kern w:val="0"/>
          <w:sz w:val="24"/>
        </w:rPr>
        <w:t xml:space="preserve"> </w:t>
      </w:r>
    </w:p>
    <w:p w:rsidR="005576D7" w:rsidRPr="00523FFC" w:rsidRDefault="005576D7"/>
    <w:sectPr w:rsidR="005576D7" w:rsidRPr="00523FFC" w:rsidSect="00365417">
      <w:headerReference w:type="default" r:id="rId5"/>
      <w:pgSz w:w="11906" w:h="16838"/>
      <w:pgMar w:top="1440" w:right="1800" w:bottom="779"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3D" w:rsidRDefault="00523FFC" w:rsidP="00897FD3">
    <w:pPr>
      <w:pStyle w:val="a3"/>
      <w:jc w:val="both"/>
    </w:pPr>
    <w:r>
      <w:t xml:space="preserve">                                       </w:t>
    </w:r>
    <w:r>
      <w:t xml:space="preserve">                           </w:t>
    </w:r>
  </w:p>
  <w:p w:rsidR="006B603D" w:rsidRDefault="00523FFC" w:rsidP="00897FD3">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FFC"/>
    <w:rsid w:val="00116D17"/>
    <w:rsid w:val="00523FFC"/>
    <w:rsid w:val="005576D7"/>
    <w:rsid w:val="00D55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23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FFC"/>
    <w:rPr>
      <w:rFonts w:ascii="Calibri" w:eastAsia="宋体" w:hAnsi="Calibri" w:cs="Times New Roman"/>
      <w:sz w:val="18"/>
      <w:szCs w:val="18"/>
    </w:rPr>
  </w:style>
  <w:style w:type="character" w:styleId="a4">
    <w:name w:val="Strong"/>
    <w:basedOn w:val="a0"/>
    <w:uiPriority w:val="99"/>
    <w:qFormat/>
    <w:rsid w:val="00523FFC"/>
    <w:rPr>
      <w:rFonts w:cs="Times New Roman"/>
      <w:b/>
      <w:bCs/>
    </w:rPr>
  </w:style>
  <w:style w:type="paragraph" w:styleId="a5">
    <w:name w:val="footer"/>
    <w:basedOn w:val="a"/>
    <w:link w:val="Char0"/>
    <w:uiPriority w:val="99"/>
    <w:rsid w:val="00523FFC"/>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5"/>
    <w:uiPriority w:val="99"/>
    <w:rsid w:val="00523F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1213</Characters>
  <Application>Microsoft Office Word</Application>
  <DocSecurity>0</DocSecurity>
  <Lines>10</Lines>
  <Paragraphs>2</Paragraphs>
  <ScaleCrop>false</ScaleCrop>
  <Company>WwW.DEEPbbS.Org</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2015-01-19T05:45:00Z</dcterms:created>
  <dcterms:modified xsi:type="dcterms:W3CDTF">2015-01-19T05:46:00Z</dcterms:modified>
</cp:coreProperties>
</file>