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“广东企业海外投资”研讨会及商贸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交流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活动参会回执</w:t>
      </w:r>
    </w:p>
    <w:p>
      <w:pPr>
        <w:spacing w:line="500" w:lineRule="exact"/>
        <w:ind w:left="42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2016年11月11日（周五）上午09:00-12:30 </w:t>
      </w:r>
    </w:p>
    <w:p>
      <w:pPr>
        <w:spacing w:line="500" w:lineRule="exact"/>
        <w:ind w:left="42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28"/>
          <w:szCs w:val="32"/>
        </w:rPr>
        <w:t>广州越秀区环市东路339号广州中心皇冠假日酒店三楼水晶厅</w:t>
      </w:r>
    </w:p>
    <w:p>
      <w:pPr>
        <w:spacing w:line="500" w:lineRule="exact"/>
        <w:ind w:left="420"/>
        <w:rPr>
          <w:rFonts w:hint="eastAsia" w:ascii="仿宋_GB2312" w:hAnsi="仿宋_GB2312" w:eastAsia="仿宋_GB2312" w:cs="仿宋_GB2312"/>
          <w:sz w:val="28"/>
          <w:szCs w:val="32"/>
        </w:rPr>
      </w:pPr>
    </w:p>
    <w:tbl>
      <w:tblPr>
        <w:tblStyle w:val="6"/>
        <w:tblW w:w="9465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400"/>
        <w:gridCol w:w="1065"/>
        <w:gridCol w:w="1545"/>
        <w:gridCol w:w="91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725" w:type="dxa"/>
            <w:gridSpan w:val="5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 席 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职位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职位</w:t>
            </w: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    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</w:trPr>
        <w:tc>
          <w:tcPr>
            <w:tcW w:w="9465" w:type="dxa"/>
            <w:gridSpan w:val="6"/>
            <w:shd w:val="clear" w:color="auto" w:fill="auto"/>
            <w:vAlign w:val="center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企业如有以下服务需求，请在空格内标注，稍后主办方将安排香港的专业机构进行对接、洽谈。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exact"/>
        </w:trPr>
        <w:tc>
          <w:tcPr>
            <w:tcW w:w="9465" w:type="dxa"/>
            <w:gridSpan w:val="6"/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page" w:horzAnchor="page" w:tblpX="155" w:tblpY="19"/>
              <w:tblOverlap w:val="never"/>
              <w:tblW w:w="934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5"/>
              <w:gridCol w:w="2655"/>
              <w:gridCol w:w="3975"/>
            </w:tblGrid>
            <w:tr>
              <w:tblPrEx>
                <w:tblLayout w:type="fixed"/>
              </w:tblPrEx>
              <w:trPr>
                <w:trHeight w:val="271" w:hRule="atLeast"/>
              </w:trPr>
              <w:tc>
                <w:tcPr>
                  <w:tcW w:w="2715" w:type="dxa"/>
                  <w:shd w:val="clear" w:color="auto" w:fill="auto"/>
                </w:tcPr>
                <w:p>
                  <w:pPr>
                    <w:spacing w:line="500" w:lineRule="exact"/>
                    <w:ind w:left="-108"/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融资咨询</w:t>
                  </w:r>
                </w:p>
              </w:tc>
              <w:tc>
                <w:tcPr>
                  <w:tcW w:w="2655" w:type="dxa"/>
                  <w:shd w:val="clear" w:color="auto" w:fill="auto"/>
                </w:tcPr>
                <w:p>
                  <w:pPr>
                    <w:spacing w:line="500" w:lineRule="exact"/>
                    <w:ind w:left="-108"/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上市发债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3975" w:type="dxa"/>
                  <w:shd w:val="clear" w:color="auto" w:fill="auto"/>
                </w:tcPr>
                <w:p>
                  <w:pPr>
                    <w:spacing w:line="500" w:lineRule="exact"/>
                    <w:ind w:left="-108"/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 xml:space="preserve">顾问服务     </w:t>
                  </w:r>
                </w:p>
              </w:tc>
            </w:tr>
            <w:tr>
              <w:tblPrEx>
                <w:tblLayout w:type="fixed"/>
              </w:tblPrEx>
              <w:trPr>
                <w:trHeight w:val="271" w:hRule="atLeast"/>
              </w:trPr>
              <w:tc>
                <w:tcPr>
                  <w:tcW w:w="2715" w:type="dxa"/>
                  <w:shd w:val="clear" w:color="auto" w:fill="auto"/>
                </w:tcPr>
                <w:p>
                  <w:pPr>
                    <w:spacing w:line="500" w:lineRule="exact"/>
                    <w:ind w:left="-108"/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尽职调查</w:t>
                  </w:r>
                </w:p>
              </w:tc>
              <w:tc>
                <w:tcPr>
                  <w:tcW w:w="2655" w:type="dxa"/>
                  <w:shd w:val="clear" w:color="auto" w:fill="auto"/>
                </w:tcPr>
                <w:p>
                  <w:pPr>
                    <w:spacing w:line="500" w:lineRule="exact"/>
                    <w:ind w:left="-108"/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知识产权</w:t>
                  </w:r>
                </w:p>
              </w:tc>
              <w:tc>
                <w:tcPr>
                  <w:tcW w:w="3975" w:type="dxa"/>
                  <w:shd w:val="clear" w:color="auto" w:fill="auto"/>
                </w:tcPr>
                <w:p>
                  <w:pPr>
                    <w:spacing w:line="500" w:lineRule="exact"/>
                    <w:ind w:left="-108"/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 xml:space="preserve">企业服务 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715" w:type="dxa"/>
                  <w:shd w:val="clear" w:color="auto" w:fill="auto"/>
                </w:tcPr>
                <w:p>
                  <w:pPr>
                    <w:spacing w:line="500" w:lineRule="exact"/>
                    <w:ind w:left="-108"/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税务咨询</w:t>
                  </w:r>
                </w:p>
              </w:tc>
              <w:tc>
                <w:tcPr>
                  <w:tcW w:w="2655" w:type="dxa"/>
                  <w:shd w:val="clear" w:color="auto" w:fill="auto"/>
                </w:tcPr>
                <w:p>
                  <w:pPr>
                    <w:spacing w:line="500" w:lineRule="exact"/>
                    <w:ind w:left="-108"/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商业估值</w:t>
                  </w:r>
                </w:p>
              </w:tc>
              <w:tc>
                <w:tcPr>
                  <w:tcW w:w="3975" w:type="dxa"/>
                  <w:shd w:val="clear" w:color="auto" w:fill="auto"/>
                </w:tcPr>
                <w:p>
                  <w:pPr>
                    <w:spacing w:line="500" w:lineRule="exact"/>
                    <w:ind w:left="-108"/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品牌管理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715" w:type="dxa"/>
                  <w:shd w:val="clear" w:color="auto" w:fill="auto"/>
                </w:tcPr>
                <w:p>
                  <w:pPr>
                    <w:spacing w:line="500" w:lineRule="exact"/>
                    <w:ind w:left="-108"/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法律咨询</w:t>
                  </w:r>
                </w:p>
              </w:tc>
              <w:tc>
                <w:tcPr>
                  <w:tcW w:w="2655" w:type="dxa"/>
                  <w:shd w:val="clear" w:color="auto" w:fill="auto"/>
                </w:tcPr>
                <w:p>
                  <w:pPr>
                    <w:spacing w:line="500" w:lineRule="exact"/>
                    <w:ind w:left="-108"/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风险评估</w:t>
                  </w:r>
                </w:p>
              </w:tc>
              <w:tc>
                <w:tcPr>
                  <w:tcW w:w="3975" w:type="dxa"/>
                  <w:shd w:val="clear" w:color="auto" w:fill="auto"/>
                </w:tcPr>
                <w:p>
                  <w:pPr>
                    <w:spacing w:line="500" w:lineRule="exact"/>
                    <w:ind w:left="-108"/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</w:rPr>
                    <w:t>其它: __________________</w:t>
                  </w:r>
                </w:p>
              </w:tc>
            </w:tr>
          </w:tbl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请于10月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日前将回执发回协会秘书处，以便会议安排。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联系人：郑佳、毛柳 ；电话：020-66311545、29886397 ；传真：020-66311543，邮箱：gzhea@vip.163.com。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交通图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inline distT="0" distB="0" distL="114300" distR="114300">
            <wp:extent cx="5273040" cy="2701925"/>
            <wp:effectExtent l="0" t="0" r="3810" b="3175"/>
            <wp:docPr id="1" name="图片 1" descr="广州中心皇冠假日酒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州中心皇冠假日酒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081" w:right="1474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2046C"/>
    <w:rsid w:val="004D6B42"/>
    <w:rsid w:val="0056105F"/>
    <w:rsid w:val="00864DA8"/>
    <w:rsid w:val="31061D88"/>
    <w:rsid w:val="3AB2046C"/>
    <w:rsid w:val="3E381DC5"/>
    <w:rsid w:val="46F50984"/>
    <w:rsid w:val="4ADE6043"/>
    <w:rsid w:val="661B75E7"/>
    <w:rsid w:val="77DB2D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ScaleCrop>false</ScaleCrop>
  <LinksUpToDate>false</LinksUpToDate>
  <CharactersWithSpaces>412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2016-09-26T07:30:00Z</dcterms:created>
  <dc:creator>Administrator</dc:creator>
  <cp:lastModifiedBy>SEELE</cp:lastModifiedBy>
  <dcterms:modified xsi:type="dcterms:W3CDTF">2016-10-11T08:33:13Z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