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3"/>
          <w:rFonts w:hint="eastAsia" w:ascii="Microsoft YaHei UI" w:hAnsi="Microsoft YaHei UI" w:eastAsia="Microsoft YaHei UI" w:cs="Microsoft YaHei UI"/>
          <w:i w:val="0"/>
          <w:caps w:val="0"/>
          <w:color w:val="333333"/>
          <w:spacing w:val="8"/>
          <w:sz w:val="25"/>
          <w:szCs w:val="25"/>
          <w:bdr w:val="none" w:color="auto" w:sz="0" w:space="0"/>
          <w:shd w:val="clear" w:fill="FFFFFF"/>
          <w:lang w:eastAsia="zh-CN"/>
        </w:rPr>
      </w:pPr>
      <w:r>
        <w:rPr>
          <w:rStyle w:val="3"/>
          <w:rFonts w:hint="eastAsia" w:ascii="Microsoft YaHei UI" w:hAnsi="Microsoft YaHei UI" w:eastAsia="Microsoft YaHei UI" w:cs="Microsoft YaHei UI"/>
          <w:i w:val="0"/>
          <w:caps w:val="0"/>
          <w:color w:val="333333"/>
          <w:spacing w:val="8"/>
          <w:sz w:val="25"/>
          <w:szCs w:val="25"/>
          <w:bdr w:val="none" w:color="auto" w:sz="0" w:space="0"/>
          <w:shd w:val="clear" w:fill="FFFFFF"/>
          <w:lang w:eastAsia="zh-CN"/>
        </w:rPr>
        <w:t>附件</w:t>
      </w:r>
    </w:p>
    <w:p>
      <w:pPr>
        <w:jc w:val="center"/>
        <w:rPr>
          <w:rStyle w:val="3"/>
          <w:rFonts w:hint="eastAsia" w:ascii="微软雅黑" w:hAnsi="微软雅黑" w:eastAsia="微软雅黑" w:cs="微软雅黑"/>
          <w:i w:val="0"/>
          <w:caps w:val="0"/>
          <w:color w:val="333333"/>
          <w:spacing w:val="8"/>
          <w:sz w:val="36"/>
          <w:szCs w:val="36"/>
          <w:bdr w:val="none" w:color="auto" w:sz="0" w:space="0"/>
          <w:shd w:val="clear" w:fill="FFFFFF"/>
        </w:rPr>
      </w:pPr>
      <w:r>
        <w:rPr>
          <w:rStyle w:val="3"/>
          <w:rFonts w:hint="eastAsia" w:ascii="微软雅黑" w:hAnsi="微软雅黑" w:eastAsia="微软雅黑" w:cs="微软雅黑"/>
          <w:i w:val="0"/>
          <w:caps w:val="0"/>
          <w:color w:val="333333"/>
          <w:spacing w:val="8"/>
          <w:sz w:val="36"/>
          <w:szCs w:val="36"/>
          <w:bdr w:val="none" w:color="auto" w:sz="0" w:space="0"/>
          <w:shd w:val="clear" w:fill="FFFFFF"/>
        </w:rPr>
        <w:t>科研设施与仪器开放共享自评报告（提纲）</w:t>
      </w:r>
    </w:p>
    <w:p>
      <w:pPr>
        <w:jc w:val="center"/>
        <w:rPr>
          <w:rStyle w:val="3"/>
          <w:rFonts w:hint="eastAsia" w:ascii="微软雅黑" w:hAnsi="微软雅黑" w:eastAsia="微软雅黑" w:cs="微软雅黑"/>
          <w:i w:val="0"/>
          <w:caps w:val="0"/>
          <w:color w:val="333333"/>
          <w:spacing w:val="8"/>
          <w:sz w:val="36"/>
          <w:szCs w:val="36"/>
          <w:bdr w:val="none" w:color="auto" w:sz="0" w:space="0"/>
          <w:shd w:val="clear" w:fill="FFFFFF"/>
        </w:rPr>
      </w:pPr>
    </w:p>
    <w:p>
      <w:pPr>
        <w:numPr>
          <w:ilvl w:val="0"/>
          <w:numId w:val="1"/>
        </w:numPr>
        <w:ind w:left="85" w:leftChars="0" w:firstLine="0" w:firstLineChars="0"/>
        <w:rPr>
          <w:rFonts w:hint="eastAsia" w:ascii="仿宋_GB2312" w:hAnsi="仿宋_GB2312" w:eastAsia="仿宋_GB2312" w:cs="仿宋_GB2312"/>
          <w:b w:val="0"/>
          <w:i w:val="0"/>
          <w:caps w:val="0"/>
          <w:color w:val="333333"/>
          <w:spacing w:val="8"/>
          <w:sz w:val="28"/>
          <w:szCs w:val="28"/>
          <w:bdr w:val="none" w:color="auto" w:sz="0" w:space="0"/>
          <w:shd w:val="clear" w:fill="FFFFFF"/>
        </w:rPr>
      </w:pPr>
      <w:r>
        <w:rPr>
          <w:rFonts w:hint="eastAsia" w:ascii="仿宋_GB2312" w:hAnsi="仿宋_GB2312" w:eastAsia="仿宋_GB2312" w:cs="仿宋_GB2312"/>
          <w:b w:val="0"/>
          <w:i w:val="0"/>
          <w:caps w:val="0"/>
          <w:color w:val="333333"/>
          <w:spacing w:val="8"/>
          <w:sz w:val="28"/>
          <w:szCs w:val="28"/>
          <w:shd w:val="clear" w:fill="FFFFFF"/>
        </w:rPr>
        <w:t>运行使用情况</w:t>
      </w:r>
      <w:r>
        <w:rPr>
          <w:rFonts w:hint="eastAsia" w:ascii="仿宋_GB2312" w:hAnsi="仿宋_GB2312" w:eastAsia="仿宋_GB2312" w:cs="仿宋_GB2312"/>
          <w:b w:val="0"/>
          <w:i w:val="0"/>
          <w:caps w:val="0"/>
          <w:color w:val="333333"/>
          <w:spacing w:val="8"/>
          <w:sz w:val="28"/>
          <w:szCs w:val="28"/>
          <w:bdr w:val="none" w:color="auto" w:sz="0" w:space="0"/>
          <w:shd w:val="clear" w:fill="FFFFFF"/>
        </w:rPr>
        <w:br w:type="textWrapping"/>
      </w:r>
      <w:r>
        <w:rPr>
          <w:rFonts w:hint="eastAsia" w:ascii="仿宋_GB2312" w:hAnsi="仿宋_GB2312" w:eastAsia="仿宋_GB2312" w:cs="仿宋_GB2312"/>
          <w:b w:val="0"/>
          <w:i w:val="0"/>
          <w:caps w:val="0"/>
          <w:color w:val="333333"/>
          <w:spacing w:val="8"/>
          <w:sz w:val="28"/>
          <w:szCs w:val="28"/>
          <w:shd w:val="clear" w:fill="FFFFFF"/>
        </w:rPr>
        <w:t>      大型科研仪器基本信息，包括仪器名称、原值和经费来源等；年度有效运行使用情况，支撑国家重大科技创新主要成效等。</w:t>
      </w:r>
      <w:r>
        <w:rPr>
          <w:rFonts w:hint="eastAsia" w:ascii="仿宋_GB2312" w:hAnsi="仿宋_GB2312" w:eastAsia="仿宋_GB2312" w:cs="仿宋_GB2312"/>
          <w:b w:val="0"/>
          <w:i w:val="0"/>
          <w:caps w:val="0"/>
          <w:color w:val="333333"/>
          <w:spacing w:val="8"/>
          <w:sz w:val="28"/>
          <w:szCs w:val="28"/>
          <w:bdr w:val="none" w:color="auto" w:sz="0" w:space="0"/>
          <w:shd w:val="clear" w:fill="FFFFFF"/>
        </w:rPr>
        <w:br w:type="textWrapping"/>
      </w:r>
    </w:p>
    <w:p>
      <w:pPr>
        <w:numPr>
          <w:ilvl w:val="0"/>
          <w:numId w:val="1"/>
        </w:numPr>
        <w:ind w:left="85" w:leftChars="0" w:firstLine="0" w:firstLineChars="0"/>
        <w:rPr>
          <w:rFonts w:hint="eastAsia" w:ascii="仿宋_GB2312" w:hAnsi="仿宋_GB2312" w:eastAsia="仿宋_GB2312" w:cs="仿宋_GB2312"/>
          <w:b w:val="0"/>
          <w:i w:val="0"/>
          <w:caps w:val="0"/>
          <w:color w:val="333333"/>
          <w:spacing w:val="8"/>
          <w:sz w:val="28"/>
          <w:szCs w:val="28"/>
          <w:shd w:val="clear" w:fill="FFFFFF"/>
        </w:rPr>
      </w:pPr>
      <w:r>
        <w:rPr>
          <w:rFonts w:hint="eastAsia" w:ascii="仿宋_GB2312" w:hAnsi="仿宋_GB2312" w:eastAsia="仿宋_GB2312" w:cs="仿宋_GB2312"/>
          <w:b w:val="0"/>
          <w:i w:val="0"/>
          <w:caps w:val="0"/>
          <w:color w:val="333333"/>
          <w:spacing w:val="8"/>
          <w:sz w:val="28"/>
          <w:szCs w:val="28"/>
          <w:shd w:val="clear" w:fill="FFFFFF"/>
        </w:rPr>
        <w:t>共享服务成效</w:t>
      </w:r>
      <w:r>
        <w:rPr>
          <w:rFonts w:hint="eastAsia" w:ascii="仿宋_GB2312" w:hAnsi="仿宋_GB2312" w:eastAsia="仿宋_GB2312" w:cs="仿宋_GB2312"/>
          <w:b w:val="0"/>
          <w:i w:val="0"/>
          <w:caps w:val="0"/>
          <w:color w:val="333333"/>
          <w:spacing w:val="8"/>
          <w:sz w:val="28"/>
          <w:szCs w:val="28"/>
          <w:bdr w:val="none" w:color="auto" w:sz="0" w:space="0"/>
          <w:shd w:val="clear" w:fill="FFFFFF"/>
        </w:rPr>
        <w:br w:type="textWrapping"/>
      </w:r>
      <w:r>
        <w:rPr>
          <w:rFonts w:hint="eastAsia" w:ascii="仿宋_GB2312" w:hAnsi="仿宋_GB2312" w:eastAsia="仿宋_GB2312" w:cs="仿宋_GB2312"/>
          <w:b w:val="0"/>
          <w:i w:val="0"/>
          <w:caps w:val="0"/>
          <w:color w:val="333333"/>
          <w:spacing w:val="8"/>
          <w:sz w:val="28"/>
          <w:szCs w:val="28"/>
          <w:shd w:val="clear" w:fill="FFFFFF"/>
        </w:rPr>
        <w:t>      大型科研仪器对法人单位以外的单位提供共享服务的机时和收入情况（需提供服务收入记录清单），服务支撑外单位科技创新及产生的重要成果等。</w:t>
      </w:r>
      <w:r>
        <w:rPr>
          <w:rFonts w:hint="eastAsia" w:ascii="仿宋_GB2312" w:hAnsi="仿宋_GB2312" w:eastAsia="仿宋_GB2312" w:cs="仿宋_GB2312"/>
          <w:b w:val="0"/>
          <w:i w:val="0"/>
          <w:caps w:val="0"/>
          <w:color w:val="333333"/>
          <w:spacing w:val="8"/>
          <w:sz w:val="28"/>
          <w:szCs w:val="28"/>
          <w:bdr w:val="none" w:color="auto" w:sz="0" w:space="0"/>
          <w:shd w:val="clear" w:fill="FFFFFF"/>
        </w:rPr>
        <w:br w:type="textWrapping"/>
      </w:r>
      <w:r>
        <w:rPr>
          <w:rFonts w:hint="eastAsia" w:ascii="仿宋_GB2312" w:hAnsi="仿宋_GB2312" w:eastAsia="仿宋_GB2312" w:cs="仿宋_GB2312"/>
          <w:b w:val="0"/>
          <w:i w:val="0"/>
          <w:caps w:val="0"/>
          <w:color w:val="333333"/>
          <w:spacing w:val="8"/>
          <w:sz w:val="28"/>
          <w:szCs w:val="28"/>
          <w:shd w:val="clear" w:fill="FFFFFF"/>
        </w:rPr>
        <w:t xml:space="preserve">    </w:t>
      </w:r>
      <w:r>
        <w:rPr>
          <w:rFonts w:hint="eastAsia" w:ascii="仿宋_GB2312" w:hAnsi="仿宋_GB2312" w:eastAsia="仿宋_GB2312" w:cs="仿宋_GB2312"/>
          <w:b w:val="0"/>
          <w:i w:val="0"/>
          <w:caps w:val="0"/>
          <w:color w:val="333333"/>
          <w:spacing w:val="8"/>
          <w:sz w:val="28"/>
          <w:szCs w:val="28"/>
          <w:shd w:val="clear" w:fill="FFFFFF"/>
          <w:lang w:val="en-US" w:eastAsia="zh-CN"/>
        </w:rPr>
        <w:t xml:space="preserve">  </w:t>
      </w:r>
      <w:r>
        <w:rPr>
          <w:rFonts w:hint="eastAsia" w:ascii="仿宋_GB2312" w:hAnsi="仿宋_GB2312" w:eastAsia="仿宋_GB2312" w:cs="仿宋_GB2312"/>
          <w:b w:val="0"/>
          <w:i w:val="0"/>
          <w:caps w:val="0"/>
          <w:color w:val="333333"/>
          <w:spacing w:val="8"/>
          <w:sz w:val="28"/>
          <w:szCs w:val="28"/>
          <w:shd w:val="clear" w:fill="FFFFFF"/>
        </w:rPr>
        <w:t>重大科研基础设施信息，技术支撑团队建设情况，运行效率，对法人单位以外的单位共享服务机时和收入情况，支撑科研创新和重大工程项目重要成果等。</w:t>
      </w:r>
      <w:r>
        <w:rPr>
          <w:rFonts w:hint="eastAsia" w:ascii="仿宋_GB2312" w:hAnsi="仿宋_GB2312" w:eastAsia="仿宋_GB2312" w:cs="仿宋_GB2312"/>
          <w:b w:val="0"/>
          <w:i w:val="0"/>
          <w:caps w:val="0"/>
          <w:color w:val="333333"/>
          <w:spacing w:val="8"/>
          <w:sz w:val="28"/>
          <w:szCs w:val="28"/>
          <w:bdr w:val="none" w:color="auto" w:sz="0" w:space="0"/>
          <w:shd w:val="clear" w:fill="FFFFFF"/>
        </w:rPr>
        <w:br w:type="textWrapping"/>
      </w:r>
      <w:r>
        <w:rPr>
          <w:rFonts w:hint="eastAsia" w:ascii="仿宋_GB2312" w:hAnsi="仿宋_GB2312" w:eastAsia="仿宋_GB2312" w:cs="仿宋_GB2312"/>
          <w:b w:val="0"/>
          <w:i w:val="0"/>
          <w:caps w:val="0"/>
          <w:color w:val="333333"/>
          <w:spacing w:val="8"/>
          <w:sz w:val="28"/>
          <w:szCs w:val="28"/>
          <w:shd w:val="clear" w:fill="FFFFFF"/>
        </w:rPr>
        <w:t xml:space="preserve">    </w:t>
      </w:r>
    </w:p>
    <w:p>
      <w:pPr>
        <w:numPr>
          <w:numId w:val="0"/>
        </w:numPr>
        <w:ind w:left="85" w:leftChars="0"/>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333333"/>
          <w:spacing w:val="8"/>
          <w:sz w:val="28"/>
          <w:szCs w:val="28"/>
          <w:shd w:val="clear" w:fill="FFFFFF"/>
        </w:rPr>
        <w:t>三、组织管理情况</w:t>
      </w:r>
      <w:r>
        <w:rPr>
          <w:rFonts w:hint="eastAsia" w:ascii="仿宋_GB2312" w:hAnsi="仿宋_GB2312" w:eastAsia="仿宋_GB2312" w:cs="仿宋_GB2312"/>
          <w:b w:val="0"/>
          <w:i w:val="0"/>
          <w:caps w:val="0"/>
          <w:color w:val="333333"/>
          <w:spacing w:val="8"/>
          <w:sz w:val="28"/>
          <w:szCs w:val="28"/>
          <w:bdr w:val="none" w:color="auto" w:sz="0" w:space="0"/>
          <w:shd w:val="clear" w:fill="FFFFFF"/>
        </w:rPr>
        <w:br w:type="textWrapping"/>
      </w:r>
      <w:r>
        <w:rPr>
          <w:rFonts w:hint="eastAsia" w:ascii="仿宋_GB2312" w:hAnsi="仿宋_GB2312" w:eastAsia="仿宋_GB2312" w:cs="仿宋_GB2312"/>
          <w:b w:val="0"/>
          <w:i w:val="0"/>
          <w:caps w:val="0"/>
          <w:color w:val="333333"/>
          <w:spacing w:val="8"/>
          <w:sz w:val="28"/>
          <w:szCs w:val="28"/>
          <w:shd w:val="clear" w:fill="FFFFFF"/>
        </w:rPr>
        <w:t>      开放共享管理制度建设情况，应开放仪器数量（需提供大型科研仪器资产清单），纳入国家网络管理平台开放仪器数量，在线服务平台与国家网络</w:t>
      </w:r>
      <w:bookmarkStart w:id="0" w:name="_GoBack"/>
      <w:bookmarkEnd w:id="0"/>
      <w:r>
        <w:rPr>
          <w:rFonts w:hint="eastAsia" w:ascii="仿宋_GB2312" w:hAnsi="仿宋_GB2312" w:eastAsia="仿宋_GB2312" w:cs="仿宋_GB2312"/>
          <w:b w:val="0"/>
          <w:i w:val="0"/>
          <w:caps w:val="0"/>
          <w:color w:val="333333"/>
          <w:spacing w:val="8"/>
          <w:sz w:val="28"/>
          <w:szCs w:val="28"/>
          <w:shd w:val="clear" w:fill="FFFFFF"/>
        </w:rPr>
        <w:t>管理平台对接情况，实验队伍建设情况，集约化管理情况等。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DE88A"/>
    <w:multiLevelType w:val="singleLevel"/>
    <w:tmpl w:val="18ADE88A"/>
    <w:lvl w:ilvl="0" w:tentative="0">
      <w:start w:val="1"/>
      <w:numFmt w:val="chineseCounting"/>
      <w:suff w:val="nothing"/>
      <w:lvlText w:val="%1、"/>
      <w:lvlJc w:val="left"/>
      <w:pPr>
        <w:ind w:left="8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907C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HEDY</dc:creator>
  <cp:lastModifiedBy>敏子</cp:lastModifiedBy>
  <dcterms:modified xsi:type="dcterms:W3CDTF">2018-08-03T02:14:17Z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