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ascii="微软雅黑" w:hAnsi="微软雅黑" w:eastAsia="微软雅黑" w:cs="微软雅黑"/>
          <w:b w:val="0"/>
          <w:i w:val="0"/>
          <w:caps w:val="0"/>
          <w:color w:val="000000"/>
          <w:spacing w:val="0"/>
          <w:sz w:val="27"/>
          <w:szCs w:val="27"/>
        </w:rPr>
      </w:pPr>
      <w:r>
        <w:rPr>
          <w:rFonts w:ascii="黑体" w:hAnsi="宋体" w:eastAsia="黑体" w:cs="黑体"/>
          <w:b w:val="0"/>
          <w:i w:val="0"/>
          <w:caps w:val="0"/>
          <w:color w:val="000000"/>
          <w:spacing w:val="0"/>
          <w:sz w:val="31"/>
          <w:szCs w:val="31"/>
          <w:bdr w:val="none" w:color="auto" w:sz="0" w:space="0"/>
        </w:rPr>
        <w:t>附件</w:t>
      </w:r>
      <w:r>
        <w:rPr>
          <w:rFonts w:hint="eastAsia" w:ascii="黑体" w:hAnsi="宋体" w:eastAsia="黑体" w:cs="黑体"/>
          <w:b w:val="0"/>
          <w:i w:val="0"/>
          <w:caps w:val="0"/>
          <w:color w:val="000000"/>
          <w:spacing w:val="0"/>
          <w:sz w:val="31"/>
          <w:szCs w:val="31"/>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ascii="方正小标宋简体" w:hAnsi="方正小标宋简体" w:eastAsia="方正小标宋简体" w:cs="方正小标宋简体"/>
          <w:b w:val="0"/>
          <w:i w:val="0"/>
          <w:caps w:val="0"/>
          <w:color w:val="000000"/>
          <w:spacing w:val="0"/>
          <w:sz w:val="43"/>
          <w:szCs w:val="43"/>
          <w:bdr w:val="none" w:color="auto" w:sz="0" w:space="0"/>
        </w:rPr>
        <w:t>动漫企业认定申请材料清单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1. 动漫企业认定申请书。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2. 企业基本信息、经营情况、主要人员情况、开发环境等说明。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3. 企业职工人数、</w:t>
      </w:r>
      <w:bookmarkStart w:id="0" w:name="_GoBack"/>
      <w:bookmarkEnd w:id="0"/>
      <w:r>
        <w:rPr>
          <w:rFonts w:hint="eastAsia" w:ascii="仿宋_GB2312" w:hAnsi="微软雅黑" w:eastAsia="仿宋_GB2312" w:cs="仿宋_GB2312"/>
          <w:b w:val="0"/>
          <w:i w:val="0"/>
          <w:caps w:val="0"/>
          <w:color w:val="000000"/>
          <w:spacing w:val="0"/>
          <w:sz w:val="31"/>
          <w:szCs w:val="31"/>
          <w:bdr w:val="none" w:color="auto" w:sz="0" w:space="0"/>
        </w:rPr>
        <w:t>学历结构以及研发人员占企业职工的比例说明。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4. 开发、生产、创作、经营的动漫产品列表,销售合同及销售合同约定的款项银行入账证明。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5. 企业营业执照副本复印件、税务登记证复印件。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6. 法定代表人或者主要负责人的身份证明材料。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7. 营业场所产权证明或者租赁意向书（营业场所为企业自有产权的，提供房产证复印件加盖企业公章；营业场所为企业租赁的，提供产权方房产证复印件加盖产权方公章或房主签字，并提供房屋租赁合同加盖企业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8. 自主开发、生产和拥有自主知识产权的动漫产品的情况说明及有关知识产权证明材料（企业至申报日前近3年内获得的自主知识产权，包括版权登记证书或专利证书等知识产权证书的复印件）。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9. 由有关行政机关颁发的从事相关业务所涉及的行政许可证件复印件。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10. 经具有资质的中介机构鉴证的企业财务年度报表（含资产负债表、损益表、现金流量表）等企业经营情况，以及企业年度研究开发费用情况表，并附研究开发活动说明材料。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相关制式表格可在文化和旅游部文化产业公共服务平台下载，1-3项材料已包含在制式表格中，下载填写后上传word格式文件即可，5-10项材料需上传PDF格式扫描件，销售合同及销售合同约定的款项银行入账证明不需上传电子版。纸质材料按顺序装订成一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b w:val="0"/>
          <w:i w:val="0"/>
          <w:caps w:val="0"/>
          <w:color w:val="000000"/>
          <w:spacing w:val="0"/>
          <w:sz w:val="27"/>
          <w:szCs w:val="27"/>
        </w:rPr>
      </w:pPr>
      <w:r>
        <w:rPr>
          <w:rFonts w:ascii="Calibri" w:hAnsi="Calibri" w:eastAsia="微软雅黑" w:cs="Calibri"/>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b w:val="0"/>
          <w:i w:val="0"/>
          <w:caps w:val="0"/>
          <w:color w:val="000000"/>
          <w:spacing w:val="0"/>
          <w:sz w:val="27"/>
          <w:szCs w:val="27"/>
        </w:rPr>
      </w:pPr>
      <w:r>
        <w:rPr>
          <w:rFonts w:hint="eastAsia" w:ascii="方正小标宋简体" w:hAnsi="方正小标宋简体" w:eastAsia="方正小标宋简体" w:cs="方正小标宋简体"/>
          <w:b w:val="0"/>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方正小标宋简体" w:hAnsi="方正小标宋简体" w:eastAsia="方正小标宋简体" w:cs="方正小标宋简体"/>
          <w:b w:val="0"/>
          <w:i w:val="0"/>
          <w:caps w:val="0"/>
          <w:color w:val="000000"/>
          <w:spacing w:val="0"/>
          <w:sz w:val="43"/>
          <w:szCs w:val="43"/>
          <w:bdr w:val="none" w:color="auto" w:sz="0" w:space="0"/>
        </w:rPr>
        <w:t>重点动漫企业年审材料清单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1. 重点动漫企业年审申请书。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2. 企业基本信息、经营情况、主要人员情况、开发环境等说明。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3. 企业职工人数、学历结构以及研发人员占企业职工的比例说明。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4. 开发、生产、创作、经营的动漫产品列表。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5. 企业营业执照副本复印件，“重点动漫企业证书”复印件，“重点动漫产品文书”复印件。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6. 法定代表人或者主要负责人的身份证明材料。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7. 营业场所产权证明或者租赁意向书（营业场所为企业自有产权的，提供房产证复印件加盖企业公章；营业场所为企业租赁的，提供产权方房产证复印件加盖产权方公章或房主签字，并提供房屋租赁合同加盖企业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8. 自主开发、生产和拥有自主知识产权的动漫产品的情况说明及有关证明材料（企业至申请日前近3年内获得的自主知识产权，包括版权登记证书或专利证书等知识产权证书的复印件）。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9. 由有关行政机关颁发的从事相关业务所涉及的行政许可证件复印件。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10. 经具有资质的中介机构鉴证的企业财务年度报表（含资产负债表、损益表、现金流量表）等企业经营情况；经具有资质的中介机构鉴证的专项审计报告，包括企业年度研究开发费用情况表（附研究开发活动说明材料）、企业总收入情况、企业经营动漫产品的主营收入情况、企业自主开发生产的动漫产品收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11. 相关证明材料：符合《办法》第十三条第（一）项的，提交企业验资报告复印件；符合《办法》第十三条第（二）项的，提交经具有资质的中介机构鉴证的企业近两个会计年度财务报表（含资产负债表、损益表、现金流量表）；符合《办法》第十三条第（三）项的，提交销售合同、版权出口贸易合同复印件及合同约定款项银行入账证明，以及经具有资质的中介机构鉴证的企业动漫产品、自主知识产权动漫产品版权出口和对外贸易收入情况；符合《办法》第十三条第（四）项的，提交有关机构的推荐证明和加盖公章的省级认定机构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rPr>
        <w:t>（相关制式表格可在文化和旅游部文化产业公共服务平台下载，1-4项材料已包含在制式表格中，下载填写后上传word格式文件即可，5-11项材料需上传PDF格式扫描件。纸质材料按顺序装订成一册）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481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HEDY</dc:creator>
  <cp:lastModifiedBy>敏子</cp:lastModifiedBy>
  <dcterms:modified xsi:type="dcterms:W3CDTF">2018-09-06T01:57:43Z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