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</w:tabs>
        <w:ind w:left="0" w:leftChars="0" w:firstLine="0" w:firstLineChars="0"/>
        <w:jc w:val="both"/>
        <w:outlineLvl w:val="9"/>
        <w:rPr>
          <w:rFonts w:hint="eastAsia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w w:val="90"/>
          <w:kern w:val="0"/>
          <w:sz w:val="32"/>
          <w:szCs w:val="32"/>
          <w:lang w:val="en-US" w:eastAsia="zh-CN" w:bidi="ar-SA"/>
        </w:rPr>
        <w:t>附件1.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1760" w:firstLineChars="400"/>
        <w:jc w:val="both"/>
        <w:rPr>
          <w:rFonts w:hint="eastAsia" w:ascii="等线" w:hAnsi="等线" w:eastAsia="等线" w:cs="等线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培训主要内容及嘉宾介绍</w:t>
      </w:r>
    </w:p>
    <w:p>
      <w:pPr>
        <w:rPr>
          <w:rFonts w:hint="default" w:ascii="等线" w:hAnsi="等线" w:eastAsia="等线" w:cs="等线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等线" w:hAnsi="等线" w:eastAsia="等线" w:cs="等线"/>
          <w:b/>
          <w:bCs/>
          <w:kern w:val="2"/>
          <w:sz w:val="28"/>
          <w:szCs w:val="28"/>
          <w:lang w:val="en-US" w:eastAsia="zh-CN" w:bidi="ar-SA"/>
        </w:rPr>
        <w:t>【主题一】增值税进项抵扣的风险防范与税务筹划</w:t>
      </w:r>
    </w:p>
    <w:p>
      <w:pPr>
        <w:rPr>
          <w:rFonts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【要点】</w:t>
      </w:r>
    </w:p>
    <w:p>
      <w:pPr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一、实务中最容易出错的几种进项税抵扣处理</w:t>
      </w:r>
    </w:p>
    <w:p>
      <w:pPr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二、税务数据大风控与进项税抵扣不能触碰的红线</w:t>
      </w:r>
    </w:p>
    <w:p>
      <w:pPr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三、案例详解进项税抵扣的几种筹划方式</w:t>
      </w:r>
    </w:p>
    <w:p>
      <w:pPr>
        <w:pStyle w:val="2"/>
        <w:rPr>
          <w:rFonts w:hint="eastAsia"/>
          <w:sz w:val="28"/>
          <w:szCs w:val="28"/>
        </w:rPr>
      </w:pPr>
    </w:p>
    <w:p>
      <w:pPr>
        <w:bidi w:val="0"/>
        <w:rPr>
          <w:rFonts w:hint="eastAsia" w:ascii="等线" w:hAnsi="等线" w:eastAsia="等线" w:cs="等线"/>
          <w:b w:val="0"/>
          <w:bCs w:val="0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【</w:t>
      </w: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主题二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】</w:t>
      </w: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集团企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业“公转私”</w:t>
      </w:r>
      <w:r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  <w:t>个</w:t>
      </w:r>
      <w:r>
        <w:rPr>
          <w:rFonts w:hint="eastAsia" w:ascii="等线" w:hAnsi="等线" w:eastAsia="等线" w:cs="等线"/>
          <w:b/>
          <w:bCs/>
          <w:sz w:val="28"/>
          <w:szCs w:val="28"/>
        </w:rPr>
        <w:t>税筹划实操分享</w:t>
      </w:r>
    </w:p>
    <w:p>
      <w:pPr>
        <w:bidi w:val="0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【要点】</w:t>
      </w:r>
    </w:p>
    <w:p>
      <w:pPr>
        <w:bidi w:val="0"/>
        <w:rPr>
          <w:rFonts w:hint="eastAsia" w:ascii="等线" w:hAnsi="等线" w:eastAsia="等线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sz w:val="28"/>
          <w:szCs w:val="28"/>
          <w:lang w:val="en-US" w:eastAsia="zh-CN"/>
        </w:rPr>
        <w:t>一、常见“公转私”税务风险场景</w:t>
      </w:r>
    </w:p>
    <w:p>
      <w:pPr>
        <w:bidi w:val="0"/>
        <w:rPr>
          <w:rFonts w:hint="eastAsia" w:ascii="等线" w:hAnsi="等线" w:eastAsia="等线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sz w:val="28"/>
          <w:szCs w:val="28"/>
          <w:lang w:val="en-US" w:eastAsia="zh-CN"/>
        </w:rPr>
        <w:t>二、三大常见税务工具优劣分析</w:t>
      </w:r>
    </w:p>
    <w:p>
      <w:pPr>
        <w:bidi w:val="0"/>
        <w:rPr>
          <w:rFonts w:hint="eastAsia" w:ascii="等线" w:hAnsi="等线" w:eastAsia="等线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sz w:val="28"/>
          <w:szCs w:val="28"/>
          <w:lang w:val="en-US" w:eastAsia="zh-CN"/>
        </w:rPr>
        <w:t>三、企业自身如何提高风控能力？</w:t>
      </w:r>
    </w:p>
    <w:p>
      <w:pPr>
        <w:bidi w:val="0"/>
        <w:rPr>
          <w:rFonts w:hint="eastAsia" w:ascii="等线" w:hAnsi="等线" w:eastAsia="等线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sz w:val="28"/>
          <w:szCs w:val="28"/>
          <w:lang w:val="en-US" w:eastAsia="zh-CN"/>
        </w:rPr>
        <w:t>四、如何选择一个靠谱的税务工具落地方？</w:t>
      </w:r>
    </w:p>
    <w:p>
      <w:pPr>
        <w:bidi w:val="0"/>
        <w:rPr>
          <w:rFonts w:hint="eastAsia" w:ascii="等线" w:hAnsi="等线" w:eastAsia="等线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sz w:val="28"/>
          <w:szCs w:val="28"/>
          <w:lang w:val="en-US" w:eastAsia="zh-CN"/>
        </w:rPr>
        <w:t>五、实操案例分享</w:t>
      </w:r>
    </w:p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等线" w:hAnsi="等线" w:eastAsia="等线" w:cs="等线"/>
          <w:b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sz w:val="28"/>
          <w:szCs w:val="28"/>
          <w:lang w:val="en-US" w:eastAsia="zh-CN"/>
        </w:rPr>
        <w:t>【嘉宾简介】</w:t>
      </w:r>
    </w:p>
    <w:p>
      <w:pPr>
        <w:bidi w:val="0"/>
        <w:rPr>
          <w:rFonts w:hint="eastAsia"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袁晨新</w:t>
      </w:r>
      <w:r>
        <w:rPr>
          <w:rFonts w:hint="eastAsia" w:ascii="等线" w:hAnsi="等线" w:eastAsia="等线"/>
          <w:b/>
          <w:sz w:val="28"/>
          <w:szCs w:val="28"/>
          <w:lang w:val="en-US" w:eastAsia="zh-CN"/>
        </w:rPr>
        <w:t>:</w:t>
      </w:r>
      <w:r>
        <w:rPr>
          <w:rFonts w:hint="eastAsia" w:ascii="等线" w:hAnsi="等线" w:eastAsia="等线"/>
          <w:b/>
          <w:sz w:val="28"/>
          <w:szCs w:val="28"/>
        </w:rPr>
        <w:t>广州正坤财税顾问有限公司高级税务顾问</w:t>
      </w:r>
      <w:r>
        <w:rPr>
          <w:rFonts w:hint="eastAsia" w:ascii="等线" w:hAnsi="等线" w:eastAsia="等线"/>
          <w:b/>
          <w:sz w:val="28"/>
          <w:szCs w:val="28"/>
          <w:lang w:eastAsia="zh-CN"/>
        </w:rPr>
        <w:t>、</w:t>
      </w:r>
      <w:r>
        <w:rPr>
          <w:rFonts w:hint="eastAsia" w:ascii="等线" w:hAnsi="等线" w:eastAsia="等线"/>
          <w:b/>
          <w:sz w:val="28"/>
          <w:szCs w:val="28"/>
        </w:rPr>
        <w:t>执业税务师、注册会计师、财政学硕士</w:t>
      </w:r>
    </w:p>
    <w:p>
      <w:pPr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专注税务领域，大型金融机构、top3上市地产企业区域税务工作经历，丰富的税务管理、筹划实战经验。现担任正坤财税高级税务顾问，负责中大型企业的税务咨询工作。擅长税费预算分析、整体税务规划、税务风险防控、城市更新税务筹划等。</w:t>
      </w:r>
    </w:p>
    <w:p>
      <w:pPr>
        <w:bidi w:val="0"/>
        <w:rPr>
          <w:rFonts w:hint="eastAsia" w:ascii="等线" w:hAnsi="等线" w:eastAsia="等线" w:cs="等线"/>
          <w:b/>
          <w:bCs/>
          <w:sz w:val="28"/>
          <w:szCs w:val="28"/>
        </w:rPr>
      </w:pPr>
    </w:p>
    <w:p>
      <w:pPr>
        <w:bidi w:val="0"/>
        <w:rPr>
          <w:rFonts w:hint="eastAsia" w:ascii="等线" w:hAnsi="等线" w:eastAsia="等线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b/>
          <w:sz w:val="28"/>
          <w:szCs w:val="28"/>
        </w:rPr>
        <w:t>倪嘉盛 Ne</w:t>
      </w:r>
      <w:r>
        <w:rPr>
          <w:rFonts w:ascii="等线" w:hAnsi="等线" w:eastAsia="等线"/>
          <w:b/>
          <w:sz w:val="28"/>
          <w:szCs w:val="28"/>
        </w:rPr>
        <w:t>l</w:t>
      </w:r>
      <w:r>
        <w:rPr>
          <w:rFonts w:hint="eastAsia" w:ascii="等线" w:hAnsi="等线" w:eastAsia="等线"/>
          <w:b/>
          <w:sz w:val="28"/>
          <w:szCs w:val="28"/>
        </w:rPr>
        <w:t>son</w:t>
      </w:r>
      <w:r>
        <w:rPr>
          <w:rFonts w:hint="eastAsia" w:ascii="等线" w:hAnsi="等线" w:eastAsia="等线"/>
          <w:b/>
          <w:sz w:val="28"/>
          <w:szCs w:val="28"/>
          <w:lang w:eastAsia="zh-CN"/>
        </w:rPr>
        <w:t>：</w:t>
      </w:r>
      <w:r>
        <w:rPr>
          <w:rFonts w:hint="eastAsia" w:ascii="等线" w:hAnsi="等线" w:eastAsia="等线"/>
          <w:b/>
          <w:bCs/>
          <w:sz w:val="28"/>
          <w:szCs w:val="28"/>
          <w:lang w:val="en-US" w:eastAsia="zh-CN"/>
        </w:rPr>
        <w:t>正惠咨询副总经理、</w:t>
      </w:r>
      <w:r>
        <w:rPr>
          <w:rFonts w:hint="eastAsia" w:ascii="等线" w:hAnsi="等线" w:eastAsia="等线"/>
          <w:b/>
          <w:bCs/>
          <w:sz w:val="28"/>
          <w:szCs w:val="28"/>
        </w:rPr>
        <w:t>正坤财税惠税组</w:t>
      </w:r>
      <w:r>
        <w:rPr>
          <w:rFonts w:hint="eastAsia" w:ascii="等线" w:hAnsi="等线" w:eastAsia="等线"/>
          <w:b/>
          <w:bCs/>
          <w:sz w:val="28"/>
          <w:szCs w:val="28"/>
          <w:lang w:val="en-US" w:eastAsia="zh-CN"/>
        </w:rPr>
        <w:t>总监</w:t>
      </w:r>
    </w:p>
    <w:p>
      <w:pPr>
        <w:ind w:firstLine="560" w:firstLineChars="200"/>
      </w:pPr>
      <w:r>
        <w:rPr>
          <w:rFonts w:hint="eastAsia" w:ascii="等线" w:hAnsi="等线" w:eastAsia="等线"/>
          <w:sz w:val="28"/>
          <w:szCs w:val="28"/>
        </w:rPr>
        <w:t>专注研究现代服务业税务成本优化领域多年，擅长企业股权转让筹划，共享经济灵活用工模式搭建，互联网科技企业税务咨询，税企纠纷应对。曾服务过多家港股上市龙头，纳斯达克上市公司，有丰富的实战经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8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Michael</cp:lastModifiedBy>
  <dcterms:modified xsi:type="dcterms:W3CDTF">2020-10-26T08:00:57Z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